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CCC2" w14:textId="77777777" w:rsidR="003F353B" w:rsidRDefault="00000000">
      <w:pPr>
        <w:spacing w:after="80"/>
      </w:pPr>
      <w:r>
        <w:rPr>
          <w:b/>
          <w:bCs/>
          <w:color w:val="1F3864"/>
          <w:sz w:val="48"/>
          <w:szCs w:val="48"/>
        </w:rPr>
        <w:t>Anexo Técnico</w:t>
      </w:r>
    </w:p>
    <w:p w14:paraId="3357E540" w14:textId="77777777" w:rsidR="003F353B" w:rsidRDefault="00000000">
      <w:pPr>
        <w:spacing w:after="40"/>
      </w:pPr>
      <w:r>
        <w:rPr>
          <w:i/>
          <w:iCs/>
          <w:color w:val="444444"/>
          <w:sz w:val="26"/>
          <w:szCs w:val="26"/>
        </w:rPr>
        <w:t>Pantallas y Neurodesarrollo Infantil: Guías Internacionales y Evidencia Científica</w:t>
      </w:r>
    </w:p>
    <w:p w14:paraId="4E02999F" w14:textId="77777777" w:rsidR="003F353B" w:rsidRDefault="00000000">
      <w:pPr>
        <w:spacing w:after="40"/>
      </w:pPr>
      <w:r>
        <w:rPr>
          <w:b/>
          <w:bCs/>
          <w:sz w:val="24"/>
          <w:szCs w:val="24"/>
        </w:rPr>
        <w:t>Foro por el Derecho a la Salud – Río Cuarto — Grupo Multisectorial</w:t>
      </w:r>
    </w:p>
    <w:p w14:paraId="54CC4CA4" w14:textId="77777777" w:rsidR="003F353B" w:rsidRDefault="00000000">
      <w:pPr>
        <w:spacing w:after="300"/>
      </w:pPr>
      <w:r>
        <w:rPr>
          <w:color w:val="666666"/>
          <w:sz w:val="24"/>
          <w:szCs w:val="24"/>
        </w:rPr>
        <w:t>Documento de trabajo — acompaña a “Desconectar para Crecer”</w:t>
      </w:r>
    </w:p>
    <w:p w14:paraId="3CA50E4A" w14:textId="77777777" w:rsidR="006D7591" w:rsidRDefault="00000000">
      <w:pPr>
        <w:spacing w:after="160"/>
        <w:rPr>
          <w:sz w:val="24"/>
          <w:szCs w:val="24"/>
        </w:rPr>
      </w:pPr>
      <w:r>
        <w:rPr>
          <w:sz w:val="24"/>
          <w:szCs w:val="24"/>
        </w:rPr>
        <w:t xml:space="preserve">Este documento tiene dos partes. La primera es una lectura rápida, con los hallazgos donde la evidencia científica es más sólida y consistente. </w:t>
      </w:r>
    </w:p>
    <w:p w14:paraId="2321F724" w14:textId="77777777" w:rsidR="006D7591" w:rsidRDefault="00000000">
      <w:pPr>
        <w:spacing w:after="160"/>
        <w:rPr>
          <w:sz w:val="24"/>
          <w:szCs w:val="24"/>
        </w:rPr>
      </w:pPr>
      <w:r>
        <w:rPr>
          <w:sz w:val="24"/>
          <w:szCs w:val="24"/>
        </w:rPr>
        <w:t xml:space="preserve">La segunda es el desarrollo técnico completo, con los estudios, los tamaños de efecto y el nivel de certeza de cada hallazgo — incluyendo los temas donde la ciencia todavía discute. </w:t>
      </w:r>
    </w:p>
    <w:p w14:paraId="6912D3C7" w14:textId="77777777" w:rsidR="003F353B" w:rsidRDefault="00000000">
      <w:pPr>
        <w:spacing w:after="160"/>
        <w:rPr>
          <w:sz w:val="24"/>
          <w:szCs w:val="24"/>
        </w:rPr>
      </w:pPr>
      <w:r>
        <w:rPr>
          <w:sz w:val="24"/>
          <w:szCs w:val="24"/>
        </w:rPr>
        <w:t>Quien quiera profundizar o citar una fuente puntual, la encuentra ahí.</w:t>
      </w:r>
    </w:p>
    <w:p w14:paraId="12535FDF" w14:textId="77777777" w:rsidR="006D7591" w:rsidRDefault="006D7591">
      <w:pPr>
        <w:spacing w:after="160"/>
        <w:rPr>
          <w:sz w:val="24"/>
          <w:szCs w:val="24"/>
        </w:rPr>
      </w:pPr>
    </w:p>
    <w:p w14:paraId="2391BB0A" w14:textId="77777777" w:rsidR="006D7591" w:rsidRDefault="006D7591">
      <w:pPr>
        <w:spacing w:after="160"/>
      </w:pPr>
    </w:p>
    <w:p w14:paraId="28C13DFC" w14:textId="77777777" w:rsidR="003F353B" w:rsidRDefault="00000000">
      <w:pPr>
        <w:pBdr>
          <w:bottom w:val="single" w:sz="12" w:space="8" w:color="1F3864"/>
        </w:pBdr>
        <w:spacing w:before="200" w:after="200"/>
      </w:pPr>
      <w:r>
        <w:rPr>
          <w:b/>
          <w:bCs/>
          <w:color w:val="1F3864"/>
          <w:sz w:val="32"/>
          <w:szCs w:val="32"/>
        </w:rPr>
        <w:t>PARTE 1 — LECTURA RÁPIDA</w:t>
      </w:r>
    </w:p>
    <w:p w14:paraId="1873ADBD" w14:textId="77777777" w:rsidR="003F353B" w:rsidRDefault="00000000">
      <w:pPr>
        <w:spacing w:after="160"/>
      </w:pPr>
      <w:r>
        <w:rPr>
          <w:sz w:val="24"/>
          <w:szCs w:val="24"/>
        </w:rPr>
        <w:t>Esto es lo que la evidencia científica sostiene con mayor solidez hoy. Se dejan fuera, a propósito, los temas donde investigadores serios todavía no se ponen de acuerdo — esos se desarrollan con todo detalle en la Parte 2, para quien quiera profundizar.</w:t>
      </w:r>
    </w:p>
    <w:p w14:paraId="28DCE030" w14:textId="77777777" w:rsidR="003F353B" w:rsidRDefault="00000000">
      <w:pPr>
        <w:spacing w:before="160" w:after="60"/>
      </w:pPr>
      <w:r>
        <w:rPr>
          <w:b/>
          <w:bCs/>
          <w:color w:val="1F3864"/>
          <w:sz w:val="26"/>
          <w:szCs w:val="26"/>
        </w:rPr>
        <w:t>¿Cuánto tiempo, en promedio, recomiendan las guías internacionales?</w:t>
      </w:r>
    </w:p>
    <w:p w14:paraId="3C915194" w14:textId="77777777" w:rsidR="003F353B" w:rsidRDefault="00000000">
      <w:pPr>
        <w:spacing w:after="160"/>
      </w:pPr>
      <w:r>
        <w:rPr>
          <w:sz w:val="24"/>
          <w:szCs w:val="24"/>
        </w:rPr>
        <w:t>Cada país fija sus propios números (el detalle completo está en la Sección A de la Parte 2), pero si se promedian las guías de la OMS, la Academia Americana de Pediatría, Canadá, Australia y la Sociedad Argentina de Pediatría, el panorama general converge bastante: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00"/>
      </w:tblGrid>
      <w:tr w:rsidR="003F353B" w14:paraId="7519566F" w14:textId="77777777">
        <w:trPr>
          <w:tblHeader/>
        </w:trPr>
        <w:tc>
          <w:tcPr>
            <w:tcW w:w="3200" w:type="dxa"/>
            <w:shd w:val="clear" w:color="auto" w:fill="1F3864"/>
            <w:tcMar>
              <w:top w:w="100" w:type="dxa"/>
              <w:left w:w="120" w:type="dxa"/>
              <w:bottom w:w="100" w:type="dxa"/>
              <w:right w:w="120" w:type="dxa"/>
            </w:tcMar>
          </w:tcPr>
          <w:p w14:paraId="2DF360D3" w14:textId="77777777" w:rsidR="003F353B" w:rsidRDefault="00000000">
            <w:r>
              <w:rPr>
                <w:b/>
                <w:bCs/>
                <w:color w:val="FFFFFF"/>
                <w:sz w:val="24"/>
                <w:szCs w:val="24"/>
              </w:rPr>
              <w:t>Edad</w:t>
            </w:r>
          </w:p>
        </w:tc>
        <w:tc>
          <w:tcPr>
            <w:tcW w:w="6400" w:type="dxa"/>
            <w:shd w:val="clear" w:color="auto" w:fill="1F3864"/>
            <w:tcMar>
              <w:top w:w="100" w:type="dxa"/>
              <w:left w:w="120" w:type="dxa"/>
              <w:bottom w:w="100" w:type="dxa"/>
              <w:right w:w="120" w:type="dxa"/>
            </w:tcMar>
          </w:tcPr>
          <w:p w14:paraId="6CD6521F" w14:textId="77777777" w:rsidR="003F353B" w:rsidRDefault="00000000">
            <w:r>
              <w:rPr>
                <w:b/>
                <w:bCs/>
                <w:color w:val="FFFFFF"/>
                <w:sz w:val="24"/>
                <w:szCs w:val="24"/>
              </w:rPr>
              <w:t>Recomendación promedio</w:t>
            </w:r>
          </w:p>
        </w:tc>
      </w:tr>
      <w:tr w:rsidR="003F353B" w14:paraId="128F06F7" w14:textId="77777777">
        <w:tc>
          <w:tcPr>
            <w:tcW w:w="3200" w:type="dxa"/>
            <w:tcMar>
              <w:top w:w="100" w:type="dxa"/>
              <w:left w:w="120" w:type="dxa"/>
              <w:bottom w:w="100" w:type="dxa"/>
              <w:right w:w="120" w:type="dxa"/>
            </w:tcMar>
          </w:tcPr>
          <w:p w14:paraId="6815E52C" w14:textId="77777777" w:rsidR="003F353B" w:rsidRDefault="00000000">
            <w:r>
              <w:rPr>
                <w:sz w:val="24"/>
                <w:szCs w:val="24"/>
              </w:rPr>
              <w:t>Menores de 2 años</w:t>
            </w:r>
          </w:p>
        </w:tc>
        <w:tc>
          <w:tcPr>
            <w:tcW w:w="6400" w:type="dxa"/>
            <w:tcMar>
              <w:top w:w="100" w:type="dxa"/>
              <w:left w:w="120" w:type="dxa"/>
              <w:bottom w:w="100" w:type="dxa"/>
              <w:right w:w="120" w:type="dxa"/>
            </w:tcMar>
          </w:tcPr>
          <w:p w14:paraId="2B05A4C6" w14:textId="77777777" w:rsidR="003F353B" w:rsidRDefault="00000000">
            <w:r>
              <w:rPr>
                <w:sz w:val="24"/>
                <w:szCs w:val="24"/>
              </w:rPr>
              <w:t>Evitar pantallas por completo (la única excepción habitual son las videollamadas breves, acompañadas por un adulto).</w:t>
            </w:r>
          </w:p>
        </w:tc>
      </w:tr>
      <w:tr w:rsidR="003F353B" w14:paraId="3CA7018E" w14:textId="77777777">
        <w:tc>
          <w:tcPr>
            <w:tcW w:w="3200" w:type="dxa"/>
            <w:tcMar>
              <w:top w:w="100" w:type="dxa"/>
              <w:left w:w="120" w:type="dxa"/>
              <w:bottom w:w="100" w:type="dxa"/>
              <w:right w:w="120" w:type="dxa"/>
            </w:tcMar>
          </w:tcPr>
          <w:p w14:paraId="140AECB4" w14:textId="77777777" w:rsidR="003F353B" w:rsidRDefault="00000000">
            <w:r>
              <w:rPr>
                <w:sz w:val="24"/>
                <w:szCs w:val="24"/>
              </w:rPr>
              <w:t>2 a 5 años</w:t>
            </w:r>
          </w:p>
        </w:tc>
        <w:tc>
          <w:tcPr>
            <w:tcW w:w="6400" w:type="dxa"/>
            <w:tcMar>
              <w:top w:w="100" w:type="dxa"/>
              <w:left w:w="120" w:type="dxa"/>
              <w:bottom w:w="100" w:type="dxa"/>
              <w:right w:w="120" w:type="dxa"/>
            </w:tcMar>
          </w:tcPr>
          <w:p w14:paraId="022766FF" w14:textId="77777777" w:rsidR="003F353B" w:rsidRDefault="00000000">
            <w:r>
              <w:rPr>
                <w:sz w:val="24"/>
                <w:szCs w:val="24"/>
              </w:rPr>
              <w:t>No más de 1 hora al día, de contenido de calidad y acompañados por un adulto. Cuanto menos, mejor.</w:t>
            </w:r>
          </w:p>
        </w:tc>
      </w:tr>
      <w:tr w:rsidR="003F353B" w14:paraId="762FAE29" w14:textId="77777777">
        <w:tc>
          <w:tcPr>
            <w:tcW w:w="3200" w:type="dxa"/>
            <w:tcMar>
              <w:top w:w="100" w:type="dxa"/>
              <w:left w:w="120" w:type="dxa"/>
              <w:bottom w:w="100" w:type="dxa"/>
              <w:right w:w="120" w:type="dxa"/>
            </w:tcMar>
          </w:tcPr>
          <w:p w14:paraId="6DF371E9" w14:textId="77777777" w:rsidR="003F353B" w:rsidRDefault="00000000">
            <w:r>
              <w:rPr>
                <w:sz w:val="24"/>
                <w:szCs w:val="24"/>
              </w:rPr>
              <w:t>6 a 12 años</w:t>
            </w:r>
          </w:p>
        </w:tc>
        <w:tc>
          <w:tcPr>
            <w:tcW w:w="6400" w:type="dxa"/>
            <w:tcMar>
              <w:top w:w="100" w:type="dxa"/>
              <w:left w:w="120" w:type="dxa"/>
              <w:bottom w:w="100" w:type="dxa"/>
              <w:right w:w="120" w:type="dxa"/>
            </w:tcMar>
          </w:tcPr>
          <w:p w14:paraId="2F65F9DF" w14:textId="77777777" w:rsidR="003F353B" w:rsidRDefault="00000000">
            <w:r>
              <w:rPr>
                <w:sz w:val="24"/>
                <w:szCs w:val="24"/>
              </w:rPr>
              <w:t>Entre 1 y 2 horas diarias de uso recreativo como techo orientativo, priorizando siempre la calidad del contenido por sobre la cantidad de horas.</w:t>
            </w:r>
          </w:p>
        </w:tc>
      </w:tr>
      <w:tr w:rsidR="003F353B" w14:paraId="52810CF8" w14:textId="77777777">
        <w:tc>
          <w:tcPr>
            <w:tcW w:w="3200" w:type="dxa"/>
            <w:tcMar>
              <w:top w:w="100" w:type="dxa"/>
              <w:left w:w="120" w:type="dxa"/>
              <w:bottom w:w="100" w:type="dxa"/>
              <w:right w:w="120" w:type="dxa"/>
            </w:tcMar>
          </w:tcPr>
          <w:p w14:paraId="1E39460B" w14:textId="77777777" w:rsidR="003F353B" w:rsidRDefault="00000000">
            <w:r>
              <w:rPr>
                <w:sz w:val="24"/>
                <w:szCs w:val="24"/>
              </w:rPr>
              <w:t>A cualquier edad</w:t>
            </w:r>
          </w:p>
        </w:tc>
        <w:tc>
          <w:tcPr>
            <w:tcW w:w="6400" w:type="dxa"/>
            <w:tcMar>
              <w:top w:w="100" w:type="dxa"/>
              <w:left w:w="120" w:type="dxa"/>
              <w:bottom w:w="100" w:type="dxa"/>
              <w:right w:w="120" w:type="dxa"/>
            </w:tcMar>
          </w:tcPr>
          <w:p w14:paraId="1640E43F" w14:textId="77777777" w:rsidR="003F353B" w:rsidRDefault="00000000">
            <w:r>
              <w:rPr>
                <w:sz w:val="24"/>
                <w:szCs w:val="24"/>
              </w:rPr>
              <w:t>Nada de pantalla al menos 1 hora antes de dormir.</w:t>
            </w:r>
          </w:p>
        </w:tc>
      </w:tr>
    </w:tbl>
    <w:p w14:paraId="3BDB55E5"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Este promedio simplifica guías que en el original tienen matices propios (por ejemplo, la AAP ya no fija un número fijo para escolares, y Francia usa una regla de edades de introducción tecnológica en vez de un límite horario diario). Se incluye como una síntesis orientativa y de fácil lectura; el detalle país por país, sin promediar, está en la Sección A de la Parte 2.</w:t>
      </w:r>
    </w:p>
    <w:p w14:paraId="687AF6D3" w14:textId="77777777" w:rsidR="006D7591" w:rsidRDefault="006D7591">
      <w:pPr>
        <w:pBdr>
          <w:left w:val="single" w:sz="12" w:space="8" w:color="888888"/>
        </w:pBdr>
        <w:spacing w:before="120" w:after="200"/>
        <w:ind w:left="240"/>
      </w:pPr>
    </w:p>
    <w:p w14:paraId="505BE52D" w14:textId="77777777" w:rsidR="003F353B" w:rsidRDefault="00000000">
      <w:pPr>
        <w:spacing w:before="160" w:after="60"/>
      </w:pPr>
      <w:r>
        <w:rPr>
          <w:b/>
          <w:bCs/>
          <w:color w:val="1F3864"/>
          <w:sz w:val="26"/>
          <w:szCs w:val="26"/>
        </w:rPr>
        <w:lastRenderedPageBreak/>
        <w:t>Lenguaje</w:t>
      </w:r>
    </w:p>
    <w:p w14:paraId="7073D818" w14:textId="77777777" w:rsidR="003F353B" w:rsidRDefault="00000000">
      <w:pPr>
        <w:spacing w:after="80"/>
      </w:pPr>
      <w:r>
        <w:rPr>
          <w:sz w:val="24"/>
          <w:szCs w:val="24"/>
        </w:rPr>
        <w:t>Más tiempo de pantalla se asocia con menor desarrollo del lenguaje infantil. Leer un libro de papel con un adulto es, con clara consistencia, mejor que leer en pantalla: los chicos comprenden más la historia y los adultos hablan más del cuento (y menos del aparato).</w:t>
      </w:r>
    </w:p>
    <w:p w14:paraId="27360E60" w14:textId="77777777" w:rsidR="003F353B" w:rsidRDefault="00000000">
      <w:pPr>
        <w:spacing w:before="160" w:after="60"/>
      </w:pPr>
      <w:r>
        <w:rPr>
          <w:b/>
          <w:bCs/>
          <w:color w:val="1F3864"/>
          <w:sz w:val="26"/>
          <w:szCs w:val="26"/>
        </w:rPr>
        <w:t>El vínculo y la conversación con el adulto</w:t>
      </w:r>
    </w:p>
    <w:p w14:paraId="5FD243E0" w14:textId="77777777" w:rsidR="003F353B" w:rsidRDefault="00000000">
      <w:pPr>
        <w:spacing w:after="80"/>
      </w:pPr>
      <w:r>
        <w:rPr>
          <w:sz w:val="24"/>
          <w:szCs w:val="24"/>
        </w:rPr>
        <w:t>Cuando hay una pantalla prendida, aunque sea de fondo, los adultos hablan menos con sus hijos y de forma menos rica. Y es justamente esa conversación — nombrar lo que el otro siente o piensa — lo que más ayuda a que el chico desarrolle su capacidad de entender a los demás.</w:t>
      </w:r>
    </w:p>
    <w:p w14:paraId="2082E1C3" w14:textId="77777777" w:rsidR="003F353B" w:rsidRDefault="00000000">
      <w:pPr>
        <w:spacing w:before="160" w:after="60"/>
      </w:pPr>
      <w:r>
        <w:rPr>
          <w:b/>
          <w:bCs/>
          <w:color w:val="1F3864"/>
          <w:sz w:val="26"/>
          <w:szCs w:val="26"/>
        </w:rPr>
        <w:t>Atención, impulsividad y autocontrol</w:t>
      </w:r>
    </w:p>
    <w:p w14:paraId="581BB334" w14:textId="77777777" w:rsidR="003F353B" w:rsidRDefault="00000000">
      <w:pPr>
        <w:spacing w:after="80"/>
      </w:pPr>
      <w:r>
        <w:rPr>
          <w:sz w:val="24"/>
          <w:szCs w:val="24"/>
        </w:rPr>
        <w:t>El contenido de ritmo muy rápido (cortes de escena constantes, estímulo fantástico) afecta, al menos de forma inmediata, la capacidad de prestar atención y de esperar sin actuar por impulso. Esto importa más que el tiempo total: un contenido pausado no tiene el mismo efecto que uno acelerado.</w:t>
      </w:r>
    </w:p>
    <w:p w14:paraId="39B6C907" w14:textId="77777777" w:rsidR="003F353B" w:rsidRDefault="00000000">
      <w:pPr>
        <w:spacing w:before="160" w:after="60"/>
      </w:pPr>
      <w:r>
        <w:rPr>
          <w:b/>
          <w:bCs/>
          <w:color w:val="1F3864"/>
          <w:sz w:val="26"/>
          <w:szCs w:val="26"/>
        </w:rPr>
        <w:t>Por qué “más rápido” no es “mejor”: la maduración acelerada</w:t>
      </w:r>
    </w:p>
    <w:p w14:paraId="344AE40A" w14:textId="77777777" w:rsidR="003F353B" w:rsidRDefault="00000000">
      <w:pPr>
        <w:spacing w:after="80"/>
      </w:pPr>
      <w:r>
        <w:rPr>
          <w:sz w:val="24"/>
          <w:szCs w:val="24"/>
        </w:rPr>
        <w:t>El cerebro típico se desarrolla mediante una especialización gradual: cada red neuronal va ganando autonomía funcional de a poco, a su propio ritmo. La investigación más reciente muestra que la sobreexposición a pantallas en la primera infancia puede acelerar ese proceso en ciertas redes — maduran antes de tiempo. Esto no es un logro: los estudios que siguieron a los mismos chicos durante más de diez años encontraron que esa maduración acelerada se relacionó, años después, con más dificultad para tomar decisiones y más ansiedad en la adolescencia (estudio completo, con cifras exactas, en la Sección B.1).</w:t>
      </w:r>
    </w:p>
    <w:p w14:paraId="381B2CF3" w14:textId="77777777" w:rsidR="003F353B" w:rsidRDefault="00000000">
      <w:pPr>
        <w:spacing w:before="160" w:after="60"/>
      </w:pPr>
      <w:r>
        <w:rPr>
          <w:b/>
          <w:bCs/>
          <w:color w:val="1F3864"/>
          <w:sz w:val="26"/>
          <w:szCs w:val="26"/>
        </w:rPr>
        <w:t>Empatía y habilidades sociales</w:t>
      </w:r>
    </w:p>
    <w:p w14:paraId="05982D8A" w14:textId="77777777" w:rsidR="003F353B" w:rsidRDefault="00000000">
      <w:pPr>
        <w:spacing w:after="80"/>
      </w:pPr>
      <w:r>
        <w:rPr>
          <w:sz w:val="24"/>
          <w:szCs w:val="24"/>
        </w:rPr>
        <w:t>El contenido prosocial (que muestra ayudar, compartir, cuidar) fomenta la empatía y la conducta prosocial en los chicos que lo ven — no es la pantalla en sí lo dañino, sino qué se ve. En paralelo, la pantalla desplaza la lectura compartida de cuentos, que es lo que mejor sostiene el desarrollo de la capacidad de entender lo que otros sienten y piensan.</w:t>
      </w:r>
    </w:p>
    <w:p w14:paraId="3A17B0A5" w14:textId="77777777" w:rsidR="003F353B" w:rsidRDefault="00000000">
      <w:pPr>
        <w:spacing w:before="160" w:after="60"/>
      </w:pPr>
      <w:r>
        <w:rPr>
          <w:b/>
          <w:bCs/>
          <w:color w:val="1F3864"/>
          <w:sz w:val="26"/>
          <w:szCs w:val="26"/>
        </w:rPr>
        <w:t>Coordinación motora</w:t>
      </w:r>
    </w:p>
    <w:p w14:paraId="39E0758B" w14:textId="77777777" w:rsidR="003F353B" w:rsidRDefault="00000000">
      <w:pPr>
        <w:spacing w:after="80"/>
      </w:pPr>
      <w:r>
        <w:rPr>
          <w:sz w:val="24"/>
          <w:szCs w:val="24"/>
        </w:rPr>
        <w:t>Más horas de pantalla se asocian, de forma consistente y en estudios muy grandes, con más torpeza motriz y mayor riesgo de dificultades de coordinación (incluyendo habilidades como andar en bicicleta). El juego activo al aire libre ayuda a compensar parte de este efecto.</w:t>
      </w:r>
    </w:p>
    <w:p w14:paraId="730A39E6" w14:textId="77777777" w:rsidR="003F353B" w:rsidRDefault="00000000">
      <w:pPr>
        <w:spacing w:before="160" w:after="60"/>
      </w:pPr>
      <w:r>
        <w:rPr>
          <w:b/>
          <w:bCs/>
          <w:color w:val="1F3864"/>
          <w:sz w:val="26"/>
          <w:szCs w:val="26"/>
        </w:rPr>
        <w:t>Obesidad</w:t>
      </w:r>
    </w:p>
    <w:p w14:paraId="6A5C15AD" w14:textId="77777777" w:rsidR="003F353B" w:rsidRDefault="00000000">
      <w:pPr>
        <w:spacing w:after="80"/>
      </w:pPr>
      <w:r>
        <w:rPr>
          <w:sz w:val="24"/>
          <w:szCs w:val="24"/>
        </w:rPr>
        <w:t>Es una de las asociaciones más replicadas de toda la literatura científica sobre pantallas: a más tiempo de pantalla, más riesgo de sobrepeso y obesidad infantil.</w:t>
      </w:r>
    </w:p>
    <w:p w14:paraId="69B8880E" w14:textId="77777777" w:rsidR="003F353B" w:rsidRDefault="00000000">
      <w:pPr>
        <w:spacing w:before="160" w:after="60"/>
      </w:pPr>
      <w:r>
        <w:rPr>
          <w:b/>
          <w:bCs/>
          <w:color w:val="1F3864"/>
          <w:sz w:val="26"/>
          <w:szCs w:val="26"/>
        </w:rPr>
        <w:t>No es solo cuánto tiempo, sino qué contenido y con quién</w:t>
      </w:r>
    </w:p>
    <w:p w14:paraId="674864BD" w14:textId="77777777" w:rsidR="003F353B" w:rsidRDefault="00000000">
      <w:pPr>
        <w:spacing w:after="80"/>
      </w:pPr>
      <w:r>
        <w:rPr>
          <w:sz w:val="24"/>
          <w:szCs w:val="24"/>
        </w:rPr>
        <w:t>En varios de los temas más delicados — como el riesgo de autolesión o el ciberacoso — lo que más se asocia con el daño no es el tiempo de pantalla en general, sino el contenido específico al que el chico está expuesto y si sufre acoso online. El mensaje para las familias no es solo “menos horas”, sino “qué mira y con quién habla de lo que mira”.</w:t>
      </w:r>
    </w:p>
    <w:p w14:paraId="5F4D96D4" w14:textId="77777777" w:rsidR="003F353B" w:rsidRDefault="00000000">
      <w:pPr>
        <w:spacing w:before="160" w:after="60"/>
      </w:pPr>
      <w:r>
        <w:rPr>
          <w:b/>
          <w:bCs/>
          <w:color w:val="1F3864"/>
          <w:sz w:val="26"/>
          <w:szCs w:val="26"/>
        </w:rPr>
        <w:t>El factor protector: jugar al aire libre</w:t>
      </w:r>
    </w:p>
    <w:p w14:paraId="3EA019A2" w14:textId="77777777" w:rsidR="003F353B" w:rsidRDefault="00000000">
      <w:pPr>
        <w:spacing w:after="80"/>
      </w:pPr>
      <w:r>
        <w:rPr>
          <w:sz w:val="24"/>
          <w:szCs w:val="24"/>
        </w:rPr>
        <w:lastRenderedPageBreak/>
        <w:t>En varios de estos dominios, el juego activo al aire libre funciona como factor protector: no anula por completo el efecto de la pantalla, pero lo atenúa de forma medible.</w:t>
      </w:r>
    </w:p>
    <w:p w14:paraId="1F0434CB" w14:textId="77777777" w:rsidR="001A38AC" w:rsidRDefault="00000000">
      <w:pPr>
        <w:spacing w:before="160" w:after="60"/>
      </w:pPr>
      <w:r>
        <w:rPr>
          <w:b/>
          <w:bCs/>
          <w:color w:val="1F3864"/>
          <w:sz w:val="26"/>
          <w:szCs w:val="26"/>
        </w:rPr>
        <w:t>Salud ocular: miopía y pantallas</w:t>
      </w:r>
    </w:p>
    <w:p w14:paraId="7F6A1A85" w14:textId="77777777" w:rsidR="001A38AC" w:rsidRDefault="00000000">
      <w:pPr>
        <w:spacing w:after="160"/>
      </w:pPr>
      <w:r>
        <w:rPr>
          <w:sz w:val="24"/>
          <w:szCs w:val="24"/>
        </w:rPr>
        <w:t>Más tiempo de pantalla se asocia con más riesgo de miopía: por cada hora diaria adicional, el riesgo sube de forma consistente en la literatura más reciente. El momento más sensible parece ser muy temprano — el primer año de vida — más que la exposición en edad escolar. El aire libre vuelve a aparecer como factor protector, esta vez para la vista: más tiempo al sol reduce la aparición de miopía, aunque no está tan claro que frene su progresión una vez instalada. El uso prolongado también reduce la frecuencia de parpadeo y puede producir ojo seco y fatiga visual, sobre todo en escolares.</w:t>
      </w:r>
    </w:p>
    <w:p w14:paraId="24886B29" w14:textId="77777777" w:rsidR="003F353B" w:rsidRDefault="00000000">
      <w:pPr>
        <w:pBdr>
          <w:left w:val="single" w:sz="12" w:space="8" w:color="888888"/>
        </w:pBdr>
        <w:spacing w:before="120" w:after="200"/>
        <w:ind w:left="240"/>
      </w:pPr>
      <w:r>
        <w:rPr>
          <w:i/>
          <w:iCs/>
          <w:color w:val="444444"/>
          <w:sz w:val="24"/>
          <w:szCs w:val="24"/>
        </w:rPr>
        <w:t>Estos son los hallazgos donde la evidencia converge con mayor claridad. En cambio, temas como el efecto general de la pantalla sobre las funciones ejecutivas en menores de 6 años, el vínculo entre videojuegos violentos y agresión, o la relación entre pantallas y síntomas de autismo, tienen evidencia genuinamente mixta o en discusión — se desarrollan con ese matiz en la Parte 2.</w:t>
      </w:r>
    </w:p>
    <w:p w14:paraId="2083CDB3" w14:textId="77777777" w:rsidR="003F353B" w:rsidRDefault="00000000">
      <w:r>
        <w:br w:type="page"/>
      </w:r>
    </w:p>
    <w:p w14:paraId="7B7722A4" w14:textId="77777777" w:rsidR="003F353B" w:rsidRDefault="00000000">
      <w:pPr>
        <w:pBdr>
          <w:bottom w:val="single" w:sz="12" w:space="8" w:color="1F3864"/>
        </w:pBdr>
        <w:spacing w:before="200" w:after="200"/>
      </w:pPr>
      <w:r>
        <w:rPr>
          <w:b/>
          <w:bCs/>
          <w:color w:val="1F3864"/>
          <w:sz w:val="32"/>
          <w:szCs w:val="32"/>
        </w:rPr>
        <w:lastRenderedPageBreak/>
        <w:t>PARTE 2 — DESARROLLO TÉCNICO COMPLETO</w:t>
      </w:r>
    </w:p>
    <w:p w14:paraId="2478ECE2" w14:textId="77777777" w:rsidR="003F353B" w:rsidRDefault="00000000">
      <w:pPr>
        <w:spacing w:after="160"/>
      </w:pPr>
      <w:r>
        <w:rPr>
          <w:sz w:val="24"/>
          <w:szCs w:val="24"/>
        </w:rPr>
        <w:t>Esta parte sistematiza, con el detalle completo, la evidencia que sostiene el proyecto. La primera sección reúne las recomendaciones de uso de pantallas de distintos países y sociedades científicas. La segunda organiza la evidencia científica por dominio del neurodesarrollo. En cada punto se distingue el nivel de certeza: metaanálisis y revisiones sistemáticas primero, luego estudios individuales, señalando explícitamente cuando la evidencia es mixta, débil o está en discusión.</w:t>
      </w:r>
    </w:p>
    <w:p w14:paraId="4E2464F4" w14:textId="77777777" w:rsidR="003F353B" w:rsidRDefault="00000000">
      <w:pPr>
        <w:pStyle w:val="Ttulo1"/>
        <w:spacing w:before="360" w:after="160"/>
      </w:pPr>
      <w:r>
        <w:rPr>
          <w:b/>
          <w:bCs/>
        </w:rPr>
        <w:t>Sección A — Recomendaciones de uso de pantallas, país por país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600"/>
      </w:tblGrid>
      <w:tr w:rsidR="003F353B" w14:paraId="77B4ABA6" w14:textId="77777777">
        <w:trPr>
          <w:tblHeader/>
        </w:trPr>
        <w:tc>
          <w:tcPr>
            <w:tcW w:w="2400" w:type="dxa"/>
            <w:shd w:val="clear" w:color="auto" w:fill="1F3864"/>
            <w:tcMar>
              <w:top w:w="100" w:type="dxa"/>
              <w:left w:w="120" w:type="dxa"/>
              <w:bottom w:w="100" w:type="dxa"/>
              <w:right w:w="120" w:type="dxa"/>
            </w:tcMar>
          </w:tcPr>
          <w:p w14:paraId="6541D016" w14:textId="77777777" w:rsidR="003F353B" w:rsidRDefault="00000000">
            <w:r>
              <w:rPr>
                <w:b/>
                <w:bCs/>
                <w:color w:val="FFFFFF"/>
                <w:sz w:val="24"/>
                <w:szCs w:val="24"/>
              </w:rPr>
              <w:t>País / organismo</w:t>
            </w:r>
          </w:p>
        </w:tc>
        <w:tc>
          <w:tcPr>
            <w:tcW w:w="3600" w:type="dxa"/>
            <w:shd w:val="clear" w:color="auto" w:fill="1F3864"/>
            <w:tcMar>
              <w:top w:w="100" w:type="dxa"/>
              <w:left w:w="120" w:type="dxa"/>
              <w:bottom w:w="100" w:type="dxa"/>
              <w:right w:w="120" w:type="dxa"/>
            </w:tcMar>
          </w:tcPr>
          <w:p w14:paraId="28D8C7F7" w14:textId="77777777" w:rsidR="003F353B" w:rsidRDefault="00000000">
            <w:r>
              <w:rPr>
                <w:b/>
                <w:bCs/>
                <w:color w:val="FFFFFF"/>
                <w:sz w:val="24"/>
                <w:szCs w:val="24"/>
              </w:rPr>
              <w:t>Recomendación</w:t>
            </w:r>
          </w:p>
        </w:tc>
        <w:tc>
          <w:tcPr>
            <w:tcW w:w="3600" w:type="dxa"/>
            <w:shd w:val="clear" w:color="auto" w:fill="1F3864"/>
            <w:tcMar>
              <w:top w:w="100" w:type="dxa"/>
              <w:left w:w="120" w:type="dxa"/>
              <w:bottom w:w="100" w:type="dxa"/>
              <w:right w:w="120" w:type="dxa"/>
            </w:tcMar>
          </w:tcPr>
          <w:p w14:paraId="1F7C1EC2" w14:textId="77777777" w:rsidR="003F353B" w:rsidRDefault="00000000">
            <w:r>
              <w:rPr>
                <w:b/>
                <w:bCs/>
                <w:color w:val="FFFFFF"/>
                <w:sz w:val="24"/>
                <w:szCs w:val="24"/>
              </w:rPr>
              <w:t>Observaciones</w:t>
            </w:r>
          </w:p>
        </w:tc>
      </w:tr>
      <w:tr w:rsidR="003F353B" w14:paraId="268D5335" w14:textId="77777777">
        <w:tc>
          <w:tcPr>
            <w:tcW w:w="2400" w:type="dxa"/>
            <w:tcMar>
              <w:top w:w="100" w:type="dxa"/>
              <w:left w:w="120" w:type="dxa"/>
              <w:bottom w:w="100" w:type="dxa"/>
              <w:right w:w="120" w:type="dxa"/>
            </w:tcMar>
          </w:tcPr>
          <w:p w14:paraId="692A01D4" w14:textId="77777777" w:rsidR="003F353B" w:rsidRDefault="00000000">
            <w:r>
              <w:rPr>
                <w:sz w:val="24"/>
                <w:szCs w:val="24"/>
              </w:rPr>
              <w:t>OMS (2019)</w:t>
            </w:r>
          </w:p>
        </w:tc>
        <w:tc>
          <w:tcPr>
            <w:tcW w:w="3600" w:type="dxa"/>
            <w:tcMar>
              <w:top w:w="100" w:type="dxa"/>
              <w:left w:w="120" w:type="dxa"/>
              <w:bottom w:w="100" w:type="dxa"/>
              <w:right w:w="120" w:type="dxa"/>
            </w:tcMar>
          </w:tcPr>
          <w:p w14:paraId="0B950C0B" w14:textId="77777777" w:rsidR="003F353B" w:rsidRDefault="00000000">
            <w:r>
              <w:rPr>
                <w:sz w:val="24"/>
                <w:szCs w:val="24"/>
              </w:rPr>
              <w:t>Menores de 1 año: sin pantallas. 1-2 años: nada de pantallas sedentarias. 2-4 años: máximo 1 hora/día, menos es mejor.</w:t>
            </w:r>
          </w:p>
        </w:tc>
        <w:tc>
          <w:tcPr>
            <w:tcW w:w="3600" w:type="dxa"/>
            <w:tcMar>
              <w:top w:w="100" w:type="dxa"/>
              <w:left w:w="120" w:type="dxa"/>
              <w:bottom w:w="100" w:type="dxa"/>
              <w:right w:w="120" w:type="dxa"/>
            </w:tcMar>
          </w:tcPr>
          <w:p w14:paraId="6FFBB64B" w14:textId="77777777" w:rsidR="003F353B" w:rsidRDefault="00000000">
            <w:r>
              <w:rPr>
                <w:sz w:val="24"/>
                <w:szCs w:val="24"/>
              </w:rPr>
              <w:t>Guía global de referencia; integra pantallas dentro de las recomendaciones de actividad física y sueño en 24 horas.</w:t>
            </w:r>
          </w:p>
        </w:tc>
      </w:tr>
      <w:tr w:rsidR="003F353B" w14:paraId="13970233" w14:textId="77777777">
        <w:tc>
          <w:tcPr>
            <w:tcW w:w="2400" w:type="dxa"/>
            <w:tcMar>
              <w:top w:w="100" w:type="dxa"/>
              <w:left w:w="120" w:type="dxa"/>
              <w:bottom w:w="100" w:type="dxa"/>
              <w:right w:w="120" w:type="dxa"/>
            </w:tcMar>
          </w:tcPr>
          <w:p w14:paraId="16BDEAC1" w14:textId="77777777" w:rsidR="003F353B" w:rsidRDefault="00000000">
            <w:r>
              <w:rPr>
                <w:sz w:val="24"/>
                <w:szCs w:val="24"/>
              </w:rPr>
              <w:t>AAP - Estados Unidos</w:t>
            </w:r>
          </w:p>
        </w:tc>
        <w:tc>
          <w:tcPr>
            <w:tcW w:w="3600" w:type="dxa"/>
            <w:tcMar>
              <w:top w:w="100" w:type="dxa"/>
              <w:left w:w="120" w:type="dxa"/>
              <w:bottom w:w="100" w:type="dxa"/>
              <w:right w:w="120" w:type="dxa"/>
            </w:tcMar>
          </w:tcPr>
          <w:p w14:paraId="0EE3A111" w14:textId="77777777" w:rsidR="003F353B" w:rsidRDefault="00000000">
            <w:r>
              <w:rPr>
                <w:sz w:val="24"/>
                <w:szCs w:val="24"/>
              </w:rPr>
              <w:t>Menores de 18-24 meses: evitar, salvo videollamadas. 2-5 años: máximo 1 hora/día de contenido de calidad. 6 años y más: sin límite numérico fijo, priorizando un Plan Familiar de Medios.</w:t>
            </w:r>
          </w:p>
        </w:tc>
        <w:tc>
          <w:tcPr>
            <w:tcW w:w="3600" w:type="dxa"/>
            <w:tcMar>
              <w:top w:w="100" w:type="dxa"/>
              <w:left w:w="120" w:type="dxa"/>
              <w:bottom w:w="100" w:type="dxa"/>
              <w:right w:w="120" w:type="dxa"/>
            </w:tcMar>
          </w:tcPr>
          <w:p w14:paraId="4DA6D06F" w14:textId="77777777" w:rsidR="003F353B" w:rsidRDefault="00000000">
            <w:r>
              <w:rPr>
                <w:sz w:val="24"/>
                <w:szCs w:val="24"/>
              </w:rPr>
              <w:t>Desde 2016 dejó de fijar límites horarios rígidos para escolares/adolescentes; pone el foco en calidad y contexto, no solo cantidad.</w:t>
            </w:r>
          </w:p>
        </w:tc>
      </w:tr>
      <w:tr w:rsidR="003F353B" w14:paraId="7D3A3EE8" w14:textId="77777777">
        <w:tc>
          <w:tcPr>
            <w:tcW w:w="2400" w:type="dxa"/>
            <w:tcMar>
              <w:top w:w="100" w:type="dxa"/>
              <w:left w:w="120" w:type="dxa"/>
              <w:bottom w:w="100" w:type="dxa"/>
              <w:right w:w="120" w:type="dxa"/>
            </w:tcMar>
          </w:tcPr>
          <w:p w14:paraId="233C2A22" w14:textId="77777777" w:rsidR="003F353B" w:rsidRDefault="00000000">
            <w:r>
              <w:rPr>
                <w:sz w:val="24"/>
                <w:szCs w:val="24"/>
              </w:rPr>
              <w:t>Canadá (CSEP / Sociedad Canadiense de Pediatría)</w:t>
            </w:r>
          </w:p>
        </w:tc>
        <w:tc>
          <w:tcPr>
            <w:tcW w:w="3600" w:type="dxa"/>
            <w:tcMar>
              <w:top w:w="100" w:type="dxa"/>
              <w:left w:w="120" w:type="dxa"/>
              <w:bottom w:w="100" w:type="dxa"/>
              <w:right w:w="120" w:type="dxa"/>
            </w:tcMar>
          </w:tcPr>
          <w:p w14:paraId="56291864" w14:textId="77777777" w:rsidR="003F353B" w:rsidRDefault="00000000">
            <w:r>
              <w:rPr>
                <w:sz w:val="24"/>
                <w:szCs w:val="24"/>
              </w:rPr>
              <w:t>0-1 año: sin pantallas. 1-4 años: máximo 1 hora/día. 5-17 años: máximo 2 horas/día de pantallas recreativas.</w:t>
            </w:r>
          </w:p>
        </w:tc>
        <w:tc>
          <w:tcPr>
            <w:tcW w:w="3600" w:type="dxa"/>
            <w:tcMar>
              <w:top w:w="100" w:type="dxa"/>
              <w:left w:w="120" w:type="dxa"/>
              <w:bottom w:w="100" w:type="dxa"/>
              <w:right w:w="120" w:type="dxa"/>
            </w:tcMar>
          </w:tcPr>
          <w:p w14:paraId="01999D75" w14:textId="77777777" w:rsidR="003F353B" w:rsidRDefault="00000000">
            <w:r>
              <w:rPr>
                <w:sz w:val="24"/>
                <w:szCs w:val="24"/>
              </w:rPr>
              <w:t>Parte de las “Guías de Movimiento de 24 horas”, que integran actividad física, sueño y pantallas de forma conjunta.</w:t>
            </w:r>
          </w:p>
        </w:tc>
      </w:tr>
      <w:tr w:rsidR="003F353B" w14:paraId="1F4594C8" w14:textId="77777777">
        <w:tc>
          <w:tcPr>
            <w:tcW w:w="2400" w:type="dxa"/>
            <w:tcMar>
              <w:top w:w="100" w:type="dxa"/>
              <w:left w:w="120" w:type="dxa"/>
              <w:bottom w:w="100" w:type="dxa"/>
              <w:right w:w="120" w:type="dxa"/>
            </w:tcMar>
          </w:tcPr>
          <w:p w14:paraId="3E8C4D55" w14:textId="77777777" w:rsidR="003F353B" w:rsidRDefault="00000000">
            <w:r>
              <w:rPr>
                <w:sz w:val="24"/>
                <w:szCs w:val="24"/>
              </w:rPr>
              <w:t>Reino Unido (RCPCH)</w:t>
            </w:r>
          </w:p>
        </w:tc>
        <w:tc>
          <w:tcPr>
            <w:tcW w:w="3600" w:type="dxa"/>
            <w:tcMar>
              <w:top w:w="100" w:type="dxa"/>
              <w:left w:w="120" w:type="dxa"/>
              <w:bottom w:w="100" w:type="dxa"/>
              <w:right w:w="120" w:type="dxa"/>
            </w:tcMar>
          </w:tcPr>
          <w:p w14:paraId="277F8F6C" w14:textId="77777777" w:rsidR="003F353B" w:rsidRDefault="00000000">
            <w:r>
              <w:rPr>
                <w:sz w:val="24"/>
                <w:szCs w:val="24"/>
              </w:rPr>
              <w:t>No fija límites horarios por edad; recomienda evaluar qué actividades desplaza la pantalla y, ante la duda, seguir la guía de la AAP.</w:t>
            </w:r>
          </w:p>
        </w:tc>
        <w:tc>
          <w:tcPr>
            <w:tcW w:w="3600" w:type="dxa"/>
            <w:tcMar>
              <w:top w:w="100" w:type="dxa"/>
              <w:left w:w="120" w:type="dxa"/>
              <w:bottom w:w="100" w:type="dxa"/>
              <w:right w:w="120" w:type="dxa"/>
            </w:tcMar>
          </w:tcPr>
          <w:p w14:paraId="63ADD808" w14:textId="77777777" w:rsidR="003F353B" w:rsidRDefault="00000000">
            <w:r>
              <w:rPr>
                <w:sz w:val="24"/>
                <w:szCs w:val="24"/>
              </w:rPr>
              <w:t>En 2026 el Departamento de Educación británico anunció su primera guía oficial sobre pantallas en menores de 5 años.</w:t>
            </w:r>
          </w:p>
        </w:tc>
      </w:tr>
      <w:tr w:rsidR="003F353B" w14:paraId="0A52909A" w14:textId="77777777">
        <w:tc>
          <w:tcPr>
            <w:tcW w:w="2400" w:type="dxa"/>
            <w:tcMar>
              <w:top w:w="100" w:type="dxa"/>
              <w:left w:w="120" w:type="dxa"/>
              <w:bottom w:w="100" w:type="dxa"/>
              <w:right w:w="120" w:type="dxa"/>
            </w:tcMar>
          </w:tcPr>
          <w:p w14:paraId="4B698962" w14:textId="77777777" w:rsidR="003F353B" w:rsidRDefault="00000000">
            <w:r>
              <w:rPr>
                <w:sz w:val="24"/>
                <w:szCs w:val="24"/>
              </w:rPr>
              <w:t>Francia (regla 3-6-9-12, Dr. Serge Tisseron)</w:t>
            </w:r>
          </w:p>
        </w:tc>
        <w:tc>
          <w:tcPr>
            <w:tcW w:w="3600" w:type="dxa"/>
            <w:tcMar>
              <w:top w:w="100" w:type="dxa"/>
              <w:left w:w="120" w:type="dxa"/>
              <w:bottom w:w="100" w:type="dxa"/>
              <w:right w:w="120" w:type="dxa"/>
            </w:tcMar>
          </w:tcPr>
          <w:p w14:paraId="2AC84E71" w14:textId="77777777" w:rsidR="003F353B" w:rsidRDefault="00000000">
            <w:r>
              <w:rPr>
                <w:sz w:val="24"/>
                <w:szCs w:val="24"/>
              </w:rPr>
              <w:t>Nada de pantallas antes de los 3 años. Sin videojuegos personales antes de los 6. Sin internet autónomo antes de los 9. Sin redes sociales antes de los 12.</w:t>
            </w:r>
          </w:p>
        </w:tc>
        <w:tc>
          <w:tcPr>
            <w:tcW w:w="3600" w:type="dxa"/>
            <w:tcMar>
              <w:top w:w="100" w:type="dxa"/>
              <w:left w:w="120" w:type="dxa"/>
              <w:bottom w:w="100" w:type="dxa"/>
              <w:right w:w="120" w:type="dxa"/>
            </w:tcMar>
          </w:tcPr>
          <w:p w14:paraId="617616B9" w14:textId="77777777" w:rsidR="003F353B" w:rsidRDefault="00000000">
            <w:r>
              <w:rPr>
                <w:sz w:val="24"/>
                <w:szCs w:val="24"/>
              </w:rPr>
              <w:t>Regla progresiva de introducción tecnológica, muy difundida en el ámbito hispanohablante.</w:t>
            </w:r>
          </w:p>
        </w:tc>
      </w:tr>
      <w:tr w:rsidR="003F353B" w14:paraId="65D38147" w14:textId="77777777">
        <w:tc>
          <w:tcPr>
            <w:tcW w:w="2400" w:type="dxa"/>
            <w:tcMar>
              <w:top w:w="100" w:type="dxa"/>
              <w:left w:w="120" w:type="dxa"/>
              <w:bottom w:w="100" w:type="dxa"/>
              <w:right w:w="120" w:type="dxa"/>
            </w:tcMar>
          </w:tcPr>
          <w:p w14:paraId="1C820BCF" w14:textId="77777777" w:rsidR="003F353B" w:rsidRDefault="00000000">
            <w:r>
              <w:rPr>
                <w:sz w:val="24"/>
                <w:szCs w:val="24"/>
              </w:rPr>
              <w:t>Argentina (SAP, desde 2018)</w:t>
            </w:r>
          </w:p>
        </w:tc>
        <w:tc>
          <w:tcPr>
            <w:tcW w:w="3600" w:type="dxa"/>
            <w:tcMar>
              <w:top w:w="100" w:type="dxa"/>
              <w:left w:w="120" w:type="dxa"/>
              <w:bottom w:w="100" w:type="dxa"/>
              <w:right w:w="120" w:type="dxa"/>
            </w:tcMar>
          </w:tcPr>
          <w:p w14:paraId="440BCFF4" w14:textId="77777777" w:rsidR="003F353B" w:rsidRDefault="00000000">
            <w:r>
              <w:rPr>
                <w:sz w:val="24"/>
                <w:szCs w:val="24"/>
              </w:rPr>
              <w:t xml:space="preserve">Menores de 2 años: se desaconseja toda exposición. 2-5 años: entre media hora y 1 hora/día, </w:t>
            </w:r>
            <w:r>
              <w:rPr>
                <w:sz w:val="24"/>
                <w:szCs w:val="24"/>
              </w:rPr>
              <w:lastRenderedPageBreak/>
              <w:t>acompañados. 5-12 años: hasta 1 hora y media/día.</w:t>
            </w:r>
          </w:p>
        </w:tc>
        <w:tc>
          <w:tcPr>
            <w:tcW w:w="3600" w:type="dxa"/>
            <w:tcMar>
              <w:top w:w="100" w:type="dxa"/>
              <w:left w:w="120" w:type="dxa"/>
              <w:bottom w:w="100" w:type="dxa"/>
              <w:right w:w="120" w:type="dxa"/>
            </w:tcMar>
          </w:tcPr>
          <w:p w14:paraId="14358F9F" w14:textId="77777777" w:rsidR="003F353B" w:rsidRDefault="00000000">
            <w:r>
              <w:rPr>
                <w:sz w:val="24"/>
                <w:szCs w:val="24"/>
              </w:rPr>
              <w:lastRenderedPageBreak/>
              <w:t>La Subcomisión de TIC de la SAP remarca evitar pantallas una hora antes de dormir y priorizar calidad y acompañamiento adulto.</w:t>
            </w:r>
          </w:p>
        </w:tc>
      </w:tr>
      <w:tr w:rsidR="003F353B" w14:paraId="655B9A0E" w14:textId="77777777">
        <w:tc>
          <w:tcPr>
            <w:tcW w:w="2400" w:type="dxa"/>
            <w:tcMar>
              <w:top w:w="100" w:type="dxa"/>
              <w:left w:w="120" w:type="dxa"/>
              <w:bottom w:w="100" w:type="dxa"/>
              <w:right w:w="120" w:type="dxa"/>
            </w:tcMar>
          </w:tcPr>
          <w:p w14:paraId="7E137BAC" w14:textId="77777777" w:rsidR="003F353B" w:rsidRDefault="00000000">
            <w:r>
              <w:rPr>
                <w:sz w:val="24"/>
                <w:szCs w:val="24"/>
              </w:rPr>
              <w:t>Australia</w:t>
            </w:r>
          </w:p>
        </w:tc>
        <w:tc>
          <w:tcPr>
            <w:tcW w:w="3600" w:type="dxa"/>
            <w:tcMar>
              <w:top w:w="100" w:type="dxa"/>
              <w:left w:w="120" w:type="dxa"/>
              <w:bottom w:w="100" w:type="dxa"/>
              <w:right w:w="120" w:type="dxa"/>
            </w:tcMar>
          </w:tcPr>
          <w:p w14:paraId="4C7C717E" w14:textId="77777777" w:rsidR="003F353B" w:rsidRDefault="00000000">
            <w:r>
              <w:rPr>
                <w:sz w:val="24"/>
                <w:szCs w:val="24"/>
              </w:rPr>
              <w:t>Menores de 2 años: ninguna. 2-4 años: máximo 1 hora/día. 5-12 años: máximo 2 horas/día.</w:t>
            </w:r>
          </w:p>
        </w:tc>
        <w:tc>
          <w:tcPr>
            <w:tcW w:w="3600" w:type="dxa"/>
            <w:tcMar>
              <w:top w:w="100" w:type="dxa"/>
              <w:left w:w="120" w:type="dxa"/>
              <w:bottom w:w="100" w:type="dxa"/>
              <w:right w:w="120" w:type="dxa"/>
            </w:tcMar>
          </w:tcPr>
          <w:p w14:paraId="5D1AB9ED" w14:textId="77777777" w:rsidR="003F353B" w:rsidRDefault="00000000">
            <w:r>
              <w:rPr>
                <w:sz w:val="24"/>
                <w:szCs w:val="24"/>
              </w:rPr>
              <w:t>Buena parte de las familias no cumple estas guías, incluso conociéndolas.</w:t>
            </w:r>
          </w:p>
        </w:tc>
      </w:tr>
      <w:tr w:rsidR="003F353B" w14:paraId="03E5C0B2" w14:textId="77777777">
        <w:tc>
          <w:tcPr>
            <w:tcW w:w="2400" w:type="dxa"/>
            <w:tcMar>
              <w:top w:w="100" w:type="dxa"/>
              <w:left w:w="120" w:type="dxa"/>
              <w:bottom w:w="100" w:type="dxa"/>
              <w:right w:w="120" w:type="dxa"/>
            </w:tcMar>
          </w:tcPr>
          <w:p w14:paraId="0631E694" w14:textId="77777777" w:rsidR="003F353B" w:rsidRDefault="00000000">
            <w:r>
              <w:rPr>
                <w:sz w:val="24"/>
                <w:szCs w:val="24"/>
              </w:rPr>
              <w:t>Japón</w:t>
            </w:r>
          </w:p>
        </w:tc>
        <w:tc>
          <w:tcPr>
            <w:tcW w:w="3600" w:type="dxa"/>
            <w:tcMar>
              <w:top w:w="100" w:type="dxa"/>
              <w:left w:w="120" w:type="dxa"/>
              <w:bottom w:w="100" w:type="dxa"/>
              <w:right w:w="120" w:type="dxa"/>
            </w:tcMar>
          </w:tcPr>
          <w:p w14:paraId="436766ED" w14:textId="77777777" w:rsidR="003F353B" w:rsidRDefault="00000000">
            <w:r>
              <w:rPr>
                <w:sz w:val="24"/>
                <w:szCs w:val="24"/>
              </w:rPr>
              <w:t>Sin guía numérica propia diferenciada; sigue en la práctica los lineamientos de la OMS.</w:t>
            </w:r>
          </w:p>
        </w:tc>
        <w:tc>
          <w:tcPr>
            <w:tcW w:w="3600" w:type="dxa"/>
            <w:tcMar>
              <w:top w:w="100" w:type="dxa"/>
              <w:left w:w="120" w:type="dxa"/>
              <w:bottom w:w="100" w:type="dxa"/>
              <w:right w:w="120" w:type="dxa"/>
            </w:tcMar>
          </w:tcPr>
          <w:p w14:paraId="70E45D8C" w14:textId="77777777" w:rsidR="003F353B" w:rsidRDefault="00000000">
            <w:r>
              <w:rPr>
                <w:sz w:val="24"/>
                <w:szCs w:val="24"/>
              </w:rPr>
              <w:t>Más de la mitad de los niños de 3 años supera las guías de la OMS.</w:t>
            </w:r>
          </w:p>
        </w:tc>
      </w:tr>
    </w:tbl>
    <w:p w14:paraId="201E1175" w14:textId="77777777" w:rsidR="003F353B" w:rsidRDefault="003F353B">
      <w:pPr>
        <w:spacing w:before="240"/>
      </w:pPr>
    </w:p>
    <w:p w14:paraId="3C907019" w14:textId="77777777" w:rsidR="003F353B" w:rsidRDefault="00000000">
      <w:pPr>
        <w:pStyle w:val="Ttulo1"/>
        <w:spacing w:before="360" w:after="160"/>
      </w:pPr>
      <w:r>
        <w:rPr>
          <w:b/>
          <w:bCs/>
        </w:rPr>
        <w:t>Sección B — Evidencia científica por dominio</w:t>
      </w:r>
    </w:p>
    <w:p w14:paraId="0C294A93" w14:textId="77777777" w:rsidR="003F353B" w:rsidRDefault="00000000">
      <w:pPr>
        <w:pStyle w:val="Ttulo3"/>
        <w:spacing w:before="200" w:after="100"/>
      </w:pPr>
      <w:r>
        <w:rPr>
          <w:b/>
          <w:bCs/>
          <w:sz w:val="26"/>
          <w:szCs w:val="26"/>
        </w:rPr>
        <w:t>1. Cambios estructurales cerebrales (neuroimagen)</w:t>
      </w:r>
    </w:p>
    <w:p w14:paraId="271E9490" w14:textId="77777777" w:rsidR="003F353B" w:rsidRDefault="00000000">
      <w:pPr>
        <w:spacing w:after="160"/>
      </w:pPr>
      <w:r>
        <w:rPr>
          <w:sz w:val="24"/>
          <w:szCs w:val="24"/>
        </w:rPr>
        <w:t>Es el bloque con el desarrollo metodológico más reciente y sólido, con estudios de neuroimagen estructural (MRI) y de difusión (DTI).</w:t>
      </w:r>
    </w:p>
    <w:p w14:paraId="5B3623C4" w14:textId="77777777" w:rsidR="003F353B" w:rsidRDefault="00000000">
      <w:pPr>
        <w:pStyle w:val="Prrafodelista"/>
        <w:numPr>
          <w:ilvl w:val="0"/>
          <w:numId w:val="2"/>
        </w:numPr>
        <w:spacing w:after="100"/>
      </w:pPr>
      <w:r>
        <w:rPr>
          <w:sz w:val="24"/>
          <w:szCs w:val="24"/>
        </w:rPr>
        <w:t>Hutton et al. (2020, JAMA Pediatrics): en preescolares, un mayor uso de pantallas por encima de las guías de la AAP se asoció con menor integridad microestructural de la sustancia blanca en tractos que sostienen el lenguaje y la alfabetización emergente.</w:t>
      </w:r>
    </w:p>
    <w:p w14:paraId="4706ECAC" w14:textId="77777777" w:rsidR="003F353B" w:rsidRDefault="00000000">
      <w:pPr>
        <w:pStyle w:val="Prrafodelista"/>
        <w:numPr>
          <w:ilvl w:val="0"/>
          <w:numId w:val="2"/>
        </w:numPr>
        <w:spacing w:after="100"/>
      </w:pPr>
      <w:r>
        <w:rPr>
          <w:sz w:val="24"/>
          <w:szCs w:val="24"/>
        </w:rPr>
        <w:t>Hutton et al. (2022, Scientific Reports): en la misma cohorte, mayor uso de pantallas se asoció con corteza más delgada y menor profundidad sulcal en regiones visuales y de procesamiento de orden superior.</w:t>
      </w:r>
    </w:p>
    <w:p w14:paraId="6FB24D7C" w14:textId="77777777" w:rsidR="003F353B" w:rsidRDefault="00000000">
      <w:pPr>
        <w:pStyle w:val="Prrafodelista"/>
        <w:numPr>
          <w:ilvl w:val="0"/>
          <w:numId w:val="2"/>
        </w:numPr>
        <w:spacing w:after="100"/>
      </w:pPr>
      <w:r>
        <w:rPr>
          <w:sz w:val="24"/>
          <w:szCs w:val="24"/>
        </w:rPr>
        <w:t>Nivins et al. (2024, Nature Scientific Reports, estudio ABCD): en un seguimiento de 4 años en niños de 9-10 años, el uso individual de medios digitales no modificó de forma significativa el desarrollo de corteza o estriado; el uso intenso de redes sociales sí se asoció con un cambio en la trayectoria del cerebelo, con un efecto pequeño (β = −0,03) que los propios autores consideran no significativo.</w:t>
      </w:r>
    </w:p>
    <w:p w14:paraId="2653876F" w14:textId="77777777" w:rsidR="003F353B" w:rsidRDefault="00000000">
      <w:pPr>
        <w:pStyle w:val="Prrafodelista"/>
        <w:numPr>
          <w:ilvl w:val="0"/>
          <w:numId w:val="2"/>
        </w:numPr>
        <w:spacing w:after="100"/>
      </w:pPr>
      <w:r>
        <w:rPr>
          <w:sz w:val="24"/>
          <w:szCs w:val="24"/>
        </w:rPr>
        <w:t>Shou, Yamashita y Mizuno (2025, Translational Psychiatry, estudio ABCD, más de 10.000 niños de 9-10 años seguidos 2 años): mayor tiempo de pantalla al inicio se asoció con más síntomas de TDAH dos años después, parcialmente mediado por reducción del volumen cortical y del putamen derecho.</w:t>
      </w:r>
    </w:p>
    <w:p w14:paraId="6D7F6AB0" w14:textId="77777777" w:rsidR="003F353B" w:rsidRDefault="00000000">
      <w:pPr>
        <w:pStyle w:val="Prrafodelista"/>
        <w:numPr>
          <w:ilvl w:val="0"/>
          <w:numId w:val="2"/>
        </w:numPr>
        <w:spacing w:after="100"/>
      </w:pPr>
      <w:r>
        <w:rPr>
          <w:sz w:val="24"/>
          <w:szCs w:val="24"/>
        </w:rPr>
        <w:t>Marciano, Camerini y Morese (2021, Frontiers in Psychology, revisión de 16 estudios en adolescentes): mayor frecuencia y duración de uso se asocia con menor eficiencia en redes de control cognitivo; los autores remarcan que la evidencia sobre causalidad es todavía limitada.</w:t>
      </w:r>
    </w:p>
    <w:p w14:paraId="4C2CD913" w14:textId="77777777" w:rsidR="003F353B" w:rsidRDefault="00000000">
      <w:pPr>
        <w:pStyle w:val="Prrafodelista"/>
        <w:numPr>
          <w:ilvl w:val="0"/>
          <w:numId w:val="2"/>
        </w:numPr>
        <w:spacing w:after="100"/>
      </w:pPr>
      <w:r>
        <w:rPr>
          <w:sz w:val="24"/>
          <w:szCs w:val="24"/>
        </w:rPr>
        <w:t xml:space="preserve">Huang et al. (2024, Psychological Medicine 54(9):1992-2003, cohorte GUSTO, Singapur): mayor tiempo de pantalla en la infancia temprana se asoció con alteraciones en la integración entre la red de procesamiento emocional y la red de control cognitivo; esta integración funcionó como una vía biológica plausible hacia una menor competencia </w:t>
      </w:r>
      <w:r>
        <w:rPr>
          <w:sz w:val="24"/>
          <w:szCs w:val="24"/>
        </w:rPr>
        <w:lastRenderedPageBreak/>
        <w:t>socioemocional posterior. El vínculo se debilitó significativamente en los niños cuyos padres leían con ellos frecuentemente a los 3 años.</w:t>
      </w:r>
    </w:p>
    <w:p w14:paraId="6F90808C" w14:textId="77777777" w:rsidR="003F353B" w:rsidRDefault="00000000">
      <w:pPr>
        <w:pStyle w:val="Prrafodelista"/>
        <w:numPr>
          <w:ilvl w:val="0"/>
          <w:numId w:val="2"/>
        </w:numPr>
        <w:spacing w:after="100"/>
      </w:pPr>
      <w:r>
        <w:rPr>
          <w:sz w:val="24"/>
          <w:szCs w:val="24"/>
        </w:rPr>
        <w:t>Huang et al. (2025, eBioMedicine, misma cohorte GUSTO, n=168, con IRM de difusión a los 4,5/6/7,5 años, toma de decisiones a los 8,5 años y ansiedad a los 13): mayor tiempo de pantalla entre 1 y 2 años se asoció con una maduración acelerada de las redes visual y de control cognitivo — no una ausencia de desarrollo, sino un desarrollo más rápido de lo esperado —, que a su vez predijo una toma de decisiones más lenta y más síntomas de ansiedad en la adolescencia. El tiempo de pantalla medido a los 3-4 años no mostró el mismo efecto, lo que señala a la infancia temprana como una ventana de sensibilidad específica.</w:t>
      </w:r>
    </w:p>
    <w:p w14:paraId="15A0621E" w14:textId="77777777" w:rsidR="003F353B" w:rsidRDefault="00000000">
      <w:pPr>
        <w:pStyle w:val="Prrafodelista"/>
        <w:numPr>
          <w:ilvl w:val="0"/>
          <w:numId w:val="2"/>
        </w:numPr>
        <w:spacing w:after="100"/>
      </w:pPr>
      <w:r>
        <w:rPr>
          <w:sz w:val="24"/>
          <w:szCs w:val="24"/>
        </w:rPr>
        <w:t>Chau (2026, Developmental Psychobiology 68(4):e70170, revisión de alcance de 9 estudios de neuroimagen en niños de 0 a 12 años): en conjunto, la mayoría de los estudios incluidos encontraron asociación entre mayor exposición a pantallas y menor grosor cortical, menor integridad de sustancia blanca y gris, menor volumen cerebeloso, y alteraciones de conectividad en redes de lenguaje, atención, función ejecutiva y regulación emocional. La revisión también señala que actividades digitales estructuradas e interactivas — en particular los videojuegos — se asociaron con mejoras en memoria de trabajo, habilidades espaciales y motricidad fina, y con mayor volumen regional, reforzando que importa el tipo de contenido y no solo la exposición en sí. Es la síntesis más reciente disponible sobre este bloque específico; al día de esta revisión no se pudo acceder al texto completo, solo al resumen, por lo que no se han incorporado matices metodológicos de los 9 estudios que la componen.</w:t>
      </w:r>
    </w:p>
    <w:p w14:paraId="15A0621D"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Un matiz conceptual importante: en el desarrollo típico las redes cerebrales se especializan de forma gradual, ganando autonomía funcional de a poco. La maduración acelerada es el patrón opuesto — ciertas redes se vuelven “maduras” antes de tiempo, posiblemente en respuesta a la sobreestimulación sensorial que ofrece la pantalla, sin completar el proceso de diferenciación que la maduración gradual permite. Esto no parece ser beneficioso: es consistente con los hallazgos de Hutton et al. (más arriba) sobre menor integridad microestructural y corteza más delgada, y ofrece un mecanismo unificador plausible — no que la pantalla “dañe” el cerebro de forma inespecífica, sino que fuerza un cronograma de maduración distinto al esperado. Esta interpretación mecanística es una lectura razonable de los datos, no un hallazgo replicado de forma independiente por otros grupos todavía.</w:t>
      </w:r>
    </w:p>
    <w:p w14:paraId="44E0B1B3"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Todos estos estudios son observacionales (asociación, no necesariamente causalidad), con tamaños de efecto en general pequeños a moderados.</w:t>
      </w:r>
    </w:p>
    <w:p w14:paraId="7B0DFE95" w14:textId="77777777" w:rsidR="006D7591" w:rsidRDefault="006D7591">
      <w:pPr>
        <w:pBdr>
          <w:left w:val="single" w:sz="12" w:space="8" w:color="888888"/>
        </w:pBdr>
        <w:spacing w:before="120" w:after="200"/>
        <w:ind w:left="240"/>
      </w:pPr>
    </w:p>
    <w:p w14:paraId="62ECA32C" w14:textId="77777777" w:rsidR="003F353B" w:rsidRDefault="00000000">
      <w:pPr>
        <w:pStyle w:val="Ttulo3"/>
        <w:spacing w:before="200" w:after="100"/>
      </w:pPr>
      <w:r>
        <w:rPr>
          <w:b/>
          <w:bCs/>
          <w:sz w:val="26"/>
          <w:szCs w:val="26"/>
        </w:rPr>
        <w:t>2. Lenguaje y lectura</w:t>
      </w:r>
    </w:p>
    <w:p w14:paraId="2B3CB15E" w14:textId="77777777" w:rsidR="003F353B" w:rsidRDefault="00000000">
      <w:pPr>
        <w:pStyle w:val="Prrafodelista"/>
        <w:numPr>
          <w:ilvl w:val="0"/>
          <w:numId w:val="2"/>
        </w:numPr>
        <w:spacing w:after="100"/>
      </w:pPr>
      <w:r>
        <w:rPr>
          <w:sz w:val="24"/>
          <w:szCs w:val="24"/>
        </w:rPr>
        <w:t>Madigan et al. (2020, JAMA Pediatrics, metaanálisis de 42 estudios): mayor tiempo de pantalla se asocia negativamente con las habilidades de lenguaje infantil; mejor calidad de exposición (programas educativos, co-visualización con los padres) se asocia positivamente.</w:t>
      </w:r>
    </w:p>
    <w:p w14:paraId="526D2995" w14:textId="77777777" w:rsidR="003F353B" w:rsidRDefault="00000000">
      <w:pPr>
        <w:pStyle w:val="Prrafodelista"/>
        <w:numPr>
          <w:ilvl w:val="0"/>
          <w:numId w:val="2"/>
        </w:numPr>
        <w:spacing w:after="100"/>
      </w:pPr>
      <w:r>
        <w:rPr>
          <w:sz w:val="24"/>
          <w:szCs w:val="24"/>
        </w:rPr>
        <w:lastRenderedPageBreak/>
        <w:t>Munzer et al. (2019, Pediatrics): los libros impresos generan mejor experiencia de lectura colaborativa entre padres e hijos pequeños que los libros electrónicos, con más verbalizaciones relacionadas con el texto.</w:t>
      </w:r>
    </w:p>
    <w:p w14:paraId="40E10914" w14:textId="77777777" w:rsidR="003F353B" w:rsidRDefault="00000000">
      <w:pPr>
        <w:pStyle w:val="Prrafodelista"/>
        <w:numPr>
          <w:ilvl w:val="0"/>
          <w:numId w:val="2"/>
        </w:numPr>
        <w:spacing w:after="100"/>
      </w:pPr>
      <w:r>
        <w:rPr>
          <w:sz w:val="24"/>
          <w:szCs w:val="24"/>
        </w:rPr>
        <w:t>Furenes, Kucirkova y Bus (2021, Review of Educational Research, metaanálisis de 39 estudios, 1.812 niños de 1 a 8 años): cuando el libro digital solo difiere del impreso por la digitalización, el libro impreso da mejor comprensión de la historia (“efecto de inferioridad de la pantalla”). La mediación de un adulto durante la lectura en papel fue más efectiva que las mejoras técnicas de los libros digitales leídos en soledad. Un diccionario incorporado no ayudó o incluso perjudicó la comprensión, aunque sí ayudó al vocabulario aislado. Cuando las mejoras digitales son coherentes con la historia, el libro digital puede superar al impreso.</w:t>
      </w:r>
    </w:p>
    <w:p w14:paraId="142616D7" w14:textId="77777777" w:rsidR="003F353B" w:rsidRDefault="00000000">
      <w:pPr>
        <w:pStyle w:val="Prrafodelista"/>
        <w:numPr>
          <w:ilvl w:val="0"/>
          <w:numId w:val="2"/>
        </w:numPr>
        <w:spacing w:after="100"/>
      </w:pPr>
      <w:r>
        <w:rPr>
          <w:sz w:val="24"/>
          <w:szCs w:val="24"/>
        </w:rPr>
        <w:t>Reich, Yau y Warschauer (2016, Journal of Developmental &amp; Behavioral Pediatrics): cuando el libro electrónico está bien diseñado, los chicos aprenden igual o más que con el impreso; lo que sistemáticamente perjudica el aprendizaje son los libros “mejorados” con sonidos, animaciones y minijuegos que distraen del relato.</w:t>
      </w:r>
    </w:p>
    <w:p w14:paraId="1446F007" w14:textId="77777777" w:rsidR="003F353B" w:rsidRDefault="00000000">
      <w:pPr>
        <w:pStyle w:val="Prrafodelista"/>
        <w:numPr>
          <w:ilvl w:val="0"/>
          <w:numId w:val="2"/>
        </w:numPr>
        <w:spacing w:after="100"/>
      </w:pPr>
      <w:r>
        <w:rPr>
          <w:sz w:val="24"/>
          <w:szCs w:val="24"/>
        </w:rPr>
        <w:t>Parish-Morris et al. (2013, Mind, Brain, and Education): en la lectura de libros electrónicos, padres e hijos hablan más del dispositivo (botones, sonidos) y menos del contenido de la historia, comparado con el libro impreso.</w:t>
      </w:r>
    </w:p>
    <w:p w14:paraId="0072FFAF" w14:textId="77777777" w:rsidR="003F353B" w:rsidRDefault="00000000">
      <w:pPr>
        <w:pStyle w:val="Prrafodelista"/>
        <w:numPr>
          <w:ilvl w:val="0"/>
          <w:numId w:val="2"/>
        </w:numPr>
        <w:spacing w:after="100"/>
      </w:pPr>
      <w:r>
        <w:rPr>
          <w:sz w:val="24"/>
          <w:szCs w:val="24"/>
        </w:rPr>
        <w:t>Strouse y Ganea (2017, Frontiers in Psychology) y Yuill y Martin (2016, Frontiers in Psychology): la conducta, el lenguaje y la cercanía física entre padres e hijos difieren sistemáticamente entre formato electrónico e impreso durante la lectura compartida, favoreciendo al papel en calidez del vínculo.</w:t>
      </w:r>
    </w:p>
    <w:p w14:paraId="56C78675"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El conjunto de la evidencia sostiene con bastante solidez que el libro impreso, leído por un adulto, es la opción más segura y consistente. La razón de fondo no parece ser que la pantalla sea inherentemente peor para leer, sino que en la práctica desplaza la conversación entre adulto y niño y agrega distractores.</w:t>
      </w:r>
    </w:p>
    <w:p w14:paraId="3F7E24F3" w14:textId="77777777" w:rsidR="006D7591" w:rsidRDefault="006D7591" w:rsidP="006D7591">
      <w:pPr>
        <w:pStyle w:val="Fuerte1"/>
      </w:pPr>
    </w:p>
    <w:p w14:paraId="655C598A" w14:textId="77777777" w:rsidR="006D7591" w:rsidRDefault="006D7591" w:rsidP="006D7591">
      <w:pPr>
        <w:pStyle w:val="Fuerte1"/>
      </w:pPr>
    </w:p>
    <w:p w14:paraId="22E3E61D" w14:textId="77777777" w:rsidR="006D7591" w:rsidRDefault="006D7591" w:rsidP="006D7591">
      <w:pPr>
        <w:pStyle w:val="Fuerte1"/>
      </w:pPr>
    </w:p>
    <w:p w14:paraId="1BFFBE5B" w14:textId="77777777" w:rsidR="006D7591" w:rsidRDefault="006D7591" w:rsidP="006D7591">
      <w:pPr>
        <w:pStyle w:val="Fuerte1"/>
      </w:pPr>
    </w:p>
    <w:p w14:paraId="3D36580A" w14:textId="77777777" w:rsidR="006D7591" w:rsidRDefault="006D7591" w:rsidP="006D7591">
      <w:pPr>
        <w:pStyle w:val="Fuerte1"/>
      </w:pPr>
    </w:p>
    <w:p w14:paraId="68DC4D33" w14:textId="77777777" w:rsidR="006D7591" w:rsidRDefault="006D7591" w:rsidP="006D7591">
      <w:pPr>
        <w:pStyle w:val="Fuerte1"/>
      </w:pPr>
    </w:p>
    <w:p w14:paraId="668A8800" w14:textId="77777777" w:rsidR="006D7591" w:rsidRDefault="006D7591" w:rsidP="006D7591">
      <w:pPr>
        <w:pStyle w:val="Fuerte1"/>
      </w:pPr>
    </w:p>
    <w:p w14:paraId="6B90461C" w14:textId="77777777" w:rsidR="006D7591" w:rsidRDefault="006D7591" w:rsidP="006D7591">
      <w:pPr>
        <w:pStyle w:val="Fuerte1"/>
      </w:pPr>
    </w:p>
    <w:p w14:paraId="18DE7F69" w14:textId="77777777" w:rsidR="006D7591" w:rsidRDefault="006D7591" w:rsidP="006D7591">
      <w:pPr>
        <w:pStyle w:val="Fuerte1"/>
      </w:pPr>
    </w:p>
    <w:p w14:paraId="2ACA8D87" w14:textId="77777777" w:rsidR="006D7591" w:rsidRDefault="006D7591" w:rsidP="006D7591">
      <w:pPr>
        <w:pStyle w:val="Fuerte1"/>
      </w:pPr>
    </w:p>
    <w:p w14:paraId="37A4383B" w14:textId="77777777" w:rsidR="006D7591" w:rsidRDefault="006D7591" w:rsidP="006D7591">
      <w:pPr>
        <w:pStyle w:val="Fuerte1"/>
      </w:pPr>
    </w:p>
    <w:p w14:paraId="320DEE26" w14:textId="77777777" w:rsidR="006D7591" w:rsidRDefault="006D7591" w:rsidP="006D7591">
      <w:pPr>
        <w:pStyle w:val="Fuerte1"/>
      </w:pPr>
    </w:p>
    <w:p w14:paraId="5B7602EB" w14:textId="77777777" w:rsidR="006D7591" w:rsidRDefault="006D7591" w:rsidP="006D7591">
      <w:pPr>
        <w:pStyle w:val="Fuerte1"/>
      </w:pPr>
    </w:p>
    <w:p w14:paraId="595AC66A" w14:textId="77777777" w:rsidR="006D7591" w:rsidRDefault="006D7591" w:rsidP="006D7591">
      <w:pPr>
        <w:pStyle w:val="Fuerte1"/>
      </w:pPr>
    </w:p>
    <w:p w14:paraId="0A7AB092" w14:textId="77777777" w:rsidR="006D7591" w:rsidRDefault="006D7591" w:rsidP="006D7591">
      <w:pPr>
        <w:pStyle w:val="Fuerte1"/>
      </w:pPr>
    </w:p>
    <w:p w14:paraId="1FD47F46" w14:textId="77777777" w:rsidR="003F353B" w:rsidRDefault="00000000">
      <w:pPr>
        <w:pStyle w:val="Ttulo3"/>
        <w:spacing w:before="200" w:after="100"/>
      </w:pPr>
      <w:r>
        <w:rPr>
          <w:b/>
          <w:bCs/>
          <w:sz w:val="26"/>
          <w:szCs w:val="26"/>
        </w:rPr>
        <w:t>3. Funciones ejecutivas</w:t>
      </w:r>
    </w:p>
    <w:p w14:paraId="362356AE" w14:textId="77777777" w:rsidR="003F353B" w:rsidRDefault="00000000">
      <w:pPr>
        <w:spacing w:after="160"/>
      </w:pPr>
      <w:r>
        <w:rPr>
          <w:sz w:val="24"/>
          <w:szCs w:val="24"/>
        </w:rPr>
        <w:t>Es uno de los dominios con evidencia más matizada, y donde conviene distinguir entre el efecto global (tiempo de pantalla) y el efecto de componentes específicos.</w:t>
      </w:r>
    </w:p>
    <w:p w14:paraId="04C1182C" w14:textId="77777777" w:rsidR="003F353B" w:rsidRDefault="00000000">
      <w:pPr>
        <w:pStyle w:val="Prrafodelista"/>
        <w:numPr>
          <w:ilvl w:val="0"/>
          <w:numId w:val="2"/>
        </w:numPr>
        <w:spacing w:after="100"/>
      </w:pPr>
      <w:r>
        <w:rPr>
          <w:sz w:val="24"/>
          <w:szCs w:val="24"/>
        </w:rPr>
        <w:lastRenderedPageBreak/>
        <w:t>Bustamante, Fernández-Castilla y Alcaraz-Iborra (2023, Computers in Human Behavior, metaanálisis de 15 estudios en menores de 6 años): no encontraron asociación global significativa entre tiempo de pantalla y funciones ejecutivas (r = 0,05; IC 95%: −0,04 a 0,15); ningún moderador resultó significativo.</w:t>
      </w:r>
    </w:p>
    <w:p w14:paraId="7EC903FB" w14:textId="77777777" w:rsidR="003F353B" w:rsidRDefault="00000000">
      <w:pPr>
        <w:pStyle w:val="Prrafodelista"/>
        <w:numPr>
          <w:ilvl w:val="0"/>
          <w:numId w:val="2"/>
        </w:numPr>
        <w:spacing w:after="100"/>
      </w:pPr>
      <w:r>
        <w:rPr>
          <w:sz w:val="24"/>
          <w:szCs w:val="24"/>
        </w:rPr>
        <w:t>Nikkelen, Valkenburg, Huizinga y Bushman (2014, Developmental Psychology, metaanálisis de 45 estudios): analizando por separado atención, hiperactividad e impulsividad, encontraron una asociación pequeña pero significativa con el uso de medios (r+ = 0,12), más marcada en atención e impulsividad que en hiperactividad.</w:t>
      </w:r>
    </w:p>
    <w:p w14:paraId="00AAB6A3" w14:textId="77777777" w:rsidR="003F353B" w:rsidRDefault="00000000">
      <w:pPr>
        <w:pStyle w:val="Prrafodelista"/>
        <w:numPr>
          <w:ilvl w:val="0"/>
          <w:numId w:val="2"/>
        </w:numPr>
        <w:spacing w:after="100"/>
      </w:pPr>
      <w:r>
        <w:rPr>
          <w:sz w:val="24"/>
          <w:szCs w:val="24"/>
        </w:rPr>
        <w:t>Lillard y Peterson (2011, Pediatrics, ensayo aleatorizado): 60 niños de 4 años asignados a ver 9 minutos de un dibujo de ritmo rápido, un dibujo educativo pausado, o dibujar. Los que vieron el dibujo rápido rindieron significativamente peor en tareas de función ejecutiva inmediatamente después (incluyendo demora de la gratificación y la Torre de Hanoi, una tarea de planificación), controlando edad, atención y exposición previa a TV.</w:t>
      </w:r>
    </w:p>
    <w:p w14:paraId="302D47D5" w14:textId="77777777" w:rsidR="003F353B" w:rsidRDefault="00000000">
      <w:pPr>
        <w:pStyle w:val="Prrafodelista"/>
        <w:numPr>
          <w:ilvl w:val="0"/>
          <w:numId w:val="2"/>
        </w:numPr>
        <w:spacing w:after="100"/>
      </w:pPr>
      <w:r>
        <w:rPr>
          <w:sz w:val="24"/>
          <w:szCs w:val="24"/>
        </w:rPr>
        <w:t>Huber et al. (2018): niños de 2-3 años postergaron menos la gratificación después de ver un dibujo animado que después de usar una app educativa.</w:t>
      </w:r>
    </w:p>
    <w:p w14:paraId="54298E32" w14:textId="77777777" w:rsidR="003F353B" w:rsidRDefault="00000000">
      <w:pPr>
        <w:pStyle w:val="Prrafodelista"/>
        <w:numPr>
          <w:ilvl w:val="0"/>
          <w:numId w:val="2"/>
        </w:numPr>
        <w:spacing w:after="100"/>
      </w:pPr>
      <w:r>
        <w:rPr>
          <w:sz w:val="24"/>
          <w:szCs w:val="24"/>
        </w:rPr>
        <w:t>Una revisión de 2024 sobre impactos inmediatos de la TV en preescolares reporta que la exposición a contenido fantástico/rápido afectó negativamente el control inhibitorio y la flexibilidad cognitiva, pero no afectó la memoria de trabajo — una disociación entre componentes de la función ejecutiva.</w:t>
      </w:r>
    </w:p>
    <w:p w14:paraId="5940F502" w14:textId="77777777" w:rsidR="003F353B" w:rsidRDefault="00000000">
      <w:pPr>
        <w:pStyle w:val="Prrafodelista"/>
        <w:numPr>
          <w:ilvl w:val="0"/>
          <w:numId w:val="2"/>
        </w:numPr>
        <w:spacing w:after="100"/>
      </w:pPr>
      <w:r>
        <w:rPr>
          <w:sz w:val="24"/>
          <w:szCs w:val="24"/>
        </w:rPr>
        <w:t>Cohorte GUSTO, Singapur (estudio longitudinal, n=502): más tiempo de pantalla a los 1, 1,5 y 6 años se asoció con peor memoria de trabajo a los 10,5 años; el tiempo de pantalla acumulado promedio no se asoció con memoria de trabajo, aunque sí con peor rendimiento académico.</w:t>
      </w:r>
    </w:p>
    <w:p w14:paraId="2C0431FB" w14:textId="77777777" w:rsidR="003F353B" w:rsidRDefault="00000000">
      <w:pPr>
        <w:pStyle w:val="Prrafodelista"/>
        <w:numPr>
          <w:ilvl w:val="0"/>
          <w:numId w:val="2"/>
        </w:numPr>
        <w:spacing w:after="100"/>
      </w:pPr>
      <w:r>
        <w:rPr>
          <w:sz w:val="24"/>
          <w:szCs w:val="24"/>
        </w:rPr>
        <w:t>Un estudio de 368 niños de 3-4 años encontró que usar el dispositivo específicamente para calmar al niño (no el tiempo de pantalla en general) se asoció con peor función ejecutiva compuesta, incluyendo memoria de trabajo, planificación y organización; streaming pasivo y más de 1 hora diaria no se asociaron significativamente. El propio estudio remarca que niños con función ejecutiva más débil de base son quienes más reciben el dispositivo como herramienta de calma.</w:t>
      </w:r>
    </w:p>
    <w:p w14:paraId="37FE455F" w14:textId="77777777" w:rsidR="003F353B" w:rsidRDefault="00000000">
      <w:pPr>
        <w:pBdr>
          <w:left w:val="single" w:sz="12" w:space="8" w:color="888888"/>
        </w:pBdr>
        <w:spacing w:before="120" w:after="200"/>
        <w:ind w:left="240"/>
      </w:pPr>
      <w:r>
        <w:rPr>
          <w:i/>
          <w:iCs/>
          <w:color w:val="444444"/>
          <w:sz w:val="24"/>
          <w:szCs w:val="24"/>
        </w:rPr>
        <w:t>La lectura honesta de este dominio es: el efecto global del tiempo de pantalla sobre las funciones ejecutivas en menores de 6 años no está confirmado por la evidencia de mejor calidad. Lo que sí está mejor sostenido es el efecto del ritmo y el contenido (fast-paced) sobre componentes específicos (atención, impulsividad, inhibición, flexibilidad), y la posibilidad de una relación bidireccional: niños con autorregulación más débil reciben más pantalla, no solo al revés. Para componentes como monitoreo de la acción, anticipación de resultados, aprendizaje de errores y manejo del tiempo, no se encontró evidencia pediátrica específica que los aísle como resultado independiente en relación con pantallas; suelen quedar disueltos dentro de escalas compuestas (como el BRIEF) sin desagregarse en las publicaciones disponibles.</w:t>
      </w:r>
    </w:p>
    <w:p w14:paraId="30B82986" w14:textId="77777777" w:rsidR="003F353B" w:rsidRDefault="00000000">
      <w:pPr>
        <w:pStyle w:val="Ttulo3"/>
        <w:spacing w:before="200" w:after="100"/>
      </w:pPr>
      <w:r>
        <w:rPr>
          <w:b/>
          <w:bCs/>
          <w:sz w:val="26"/>
          <w:szCs w:val="26"/>
        </w:rPr>
        <w:t>4. Memoria y cognición general / Cociente Intelectual</w:t>
      </w:r>
    </w:p>
    <w:p w14:paraId="241DD59E" w14:textId="77777777" w:rsidR="003F353B" w:rsidRDefault="00000000">
      <w:pPr>
        <w:pStyle w:val="Prrafodelista"/>
        <w:numPr>
          <w:ilvl w:val="0"/>
          <w:numId w:val="2"/>
        </w:numPr>
        <w:spacing w:after="100"/>
      </w:pPr>
      <w:r>
        <w:rPr>
          <w:sz w:val="24"/>
          <w:szCs w:val="24"/>
        </w:rPr>
        <w:t>Aishworiya et al. (2019, citado en revisión de Ackermann et al.): cada hora adicional de TV vista diariamente a los 12 meses se asoció con una disminución significativa del CI compuesto a los 4,5 años.</w:t>
      </w:r>
    </w:p>
    <w:p w14:paraId="2798E35E" w14:textId="77777777" w:rsidR="003F353B" w:rsidRDefault="00000000">
      <w:pPr>
        <w:pStyle w:val="Prrafodelista"/>
        <w:numPr>
          <w:ilvl w:val="0"/>
          <w:numId w:val="2"/>
        </w:numPr>
        <w:spacing w:after="100"/>
      </w:pPr>
      <w:r>
        <w:rPr>
          <w:sz w:val="24"/>
          <w:szCs w:val="24"/>
        </w:rPr>
        <w:lastRenderedPageBreak/>
        <w:t>Sauce et al. (2022): la TV se correlacionó negativamente con la inteligencia, mientras que los videojuegos se asociaron positivamente con el cambio en inteligencia medido a 2 años.</w:t>
      </w:r>
    </w:p>
    <w:p w14:paraId="2F57663D" w14:textId="77777777" w:rsidR="003F353B" w:rsidRDefault="00000000">
      <w:pPr>
        <w:pStyle w:val="Prrafodelista"/>
        <w:numPr>
          <w:ilvl w:val="0"/>
          <w:numId w:val="2"/>
        </w:numPr>
        <w:spacing w:after="100"/>
      </w:pPr>
      <w:r>
        <w:rPr>
          <w:sz w:val="24"/>
          <w:szCs w:val="24"/>
        </w:rPr>
        <w:t>Vohr et al. (2021, JAMA Pediatrics): en niños pretérmino, más de 2 horas diarias de pantalla se asoció con mayor riesgo de bajo CI global a los 6-7 años.</w:t>
      </w:r>
    </w:p>
    <w:p w14:paraId="46FA0AE0"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La relación entre pantallas y CI general muestra resultados mixtos según el tipo de contenido. No es un hallazgo unívoco ni de la magnitud que a veces se presenta en divulgación.</w:t>
      </w:r>
    </w:p>
    <w:p w14:paraId="01800F9E" w14:textId="77777777" w:rsidR="006D7591" w:rsidRDefault="006D7591" w:rsidP="006D7591">
      <w:pPr>
        <w:pStyle w:val="Fuerte1"/>
      </w:pPr>
    </w:p>
    <w:p w14:paraId="28E3C484" w14:textId="77777777" w:rsidR="006D7591" w:rsidRDefault="006D7591" w:rsidP="006D7591">
      <w:pPr>
        <w:pStyle w:val="Fuerte1"/>
      </w:pPr>
    </w:p>
    <w:p w14:paraId="44F6C48F" w14:textId="77777777" w:rsidR="006D7591" w:rsidRDefault="006D7591" w:rsidP="006D7591">
      <w:pPr>
        <w:pStyle w:val="Fuerte1"/>
      </w:pPr>
    </w:p>
    <w:p w14:paraId="49DF87AA" w14:textId="77777777" w:rsidR="006D7591" w:rsidRDefault="006D7591" w:rsidP="006D7591">
      <w:pPr>
        <w:pStyle w:val="Fuerte1"/>
      </w:pPr>
    </w:p>
    <w:p w14:paraId="1F646185" w14:textId="77777777" w:rsidR="006D7591" w:rsidRDefault="006D7591" w:rsidP="006D7591">
      <w:pPr>
        <w:pStyle w:val="Fuerte1"/>
      </w:pPr>
    </w:p>
    <w:p w14:paraId="68FE0035" w14:textId="77777777" w:rsidR="006D7591" w:rsidRDefault="006D7591" w:rsidP="006D7591">
      <w:pPr>
        <w:pStyle w:val="Fuerte1"/>
      </w:pPr>
    </w:p>
    <w:p w14:paraId="735AE9BC" w14:textId="77777777" w:rsidR="006D7591" w:rsidRDefault="006D7591" w:rsidP="006D7591">
      <w:pPr>
        <w:pStyle w:val="Fuerte1"/>
      </w:pPr>
    </w:p>
    <w:p w14:paraId="01C5D480" w14:textId="77777777" w:rsidR="003F353B" w:rsidRDefault="00000000">
      <w:pPr>
        <w:pStyle w:val="Ttulo3"/>
        <w:spacing w:before="200" w:after="100"/>
      </w:pPr>
      <w:r>
        <w:rPr>
          <w:b/>
          <w:bCs/>
          <w:sz w:val="26"/>
          <w:szCs w:val="26"/>
        </w:rPr>
        <w:t>5. Empatía, habilidades sociales, teoría de la mente y cognición social</w:t>
      </w:r>
    </w:p>
    <w:p w14:paraId="1D75E813" w14:textId="77777777" w:rsidR="003F353B" w:rsidRDefault="00000000">
      <w:pPr>
        <w:spacing w:after="160"/>
      </w:pPr>
      <w:r>
        <w:rPr>
          <w:sz w:val="24"/>
          <w:szCs w:val="24"/>
        </w:rPr>
        <w:t>Este dominio reúne varias líneas de evidencia distintas: competencia socioemocional general, contenido prosocial, y teoría de la mente específicamente.</w:t>
      </w:r>
    </w:p>
    <w:p w14:paraId="4F54F5DF" w14:textId="77777777" w:rsidR="003F353B" w:rsidRDefault="00000000">
      <w:pPr>
        <w:pStyle w:val="Prrafodelista"/>
        <w:numPr>
          <w:ilvl w:val="0"/>
          <w:numId w:val="2"/>
        </w:numPr>
        <w:spacing w:after="100"/>
      </w:pPr>
      <w:r>
        <w:rPr>
          <w:sz w:val="24"/>
          <w:szCs w:val="24"/>
        </w:rPr>
        <w:t>Eirich et al. (2022, JAMA Psychiatry, metaanálisis de 87 estudios, 159.425 niños de hasta 12 años): correlación pequeña pero significativa entre tiempo de pantalla y problemas externalizantes (r = 0,11) e internalizantes (r = 0,07); en estudios que controlaron el nivel basal de conducta, la correlación bajó a r = 0,06.</w:t>
      </w:r>
    </w:p>
    <w:p w14:paraId="09695C1C" w14:textId="77777777" w:rsidR="003F353B" w:rsidRDefault="00000000">
      <w:pPr>
        <w:pStyle w:val="Prrafodelista"/>
        <w:numPr>
          <w:ilvl w:val="0"/>
          <w:numId w:val="2"/>
        </w:numPr>
        <w:spacing w:after="100"/>
      </w:pPr>
      <w:r>
        <w:rPr>
          <w:sz w:val="24"/>
          <w:szCs w:val="24"/>
        </w:rPr>
        <w:t>Jia et al. (2025, metaanálisis de 124 tamaños de efecto, 30 estudios, N=39.620): correlación negativa pequeña pero significativa con competencia socioemocional (r = −0,046) y positiva pequeña con problemas de conducta (r = 0,117).</w:t>
      </w:r>
    </w:p>
    <w:p w14:paraId="29FF4776" w14:textId="77777777" w:rsidR="003F353B" w:rsidRDefault="00000000">
      <w:pPr>
        <w:pStyle w:val="Prrafodelista"/>
        <w:numPr>
          <w:ilvl w:val="0"/>
          <w:numId w:val="2"/>
        </w:numPr>
        <w:spacing w:after="100"/>
      </w:pPr>
      <w:r>
        <w:rPr>
          <w:sz w:val="24"/>
          <w:szCs w:val="24"/>
        </w:rPr>
        <w:t>Skalicka et al. (2019, estudio noruego longitudinal, 960 niños): mayor tiempo de TV a los 4 años predijo menor comprensión emocional a los 6 en niñas; en varones, fue el videojuego el que predijo el efecto.</w:t>
      </w:r>
    </w:p>
    <w:p w14:paraId="41653091" w14:textId="77777777" w:rsidR="003F353B" w:rsidRPr="006D7591" w:rsidRDefault="00000000">
      <w:pPr>
        <w:pStyle w:val="Prrafodelista"/>
        <w:numPr>
          <w:ilvl w:val="0"/>
          <w:numId w:val="2"/>
        </w:numPr>
        <w:spacing w:after="100"/>
      </w:pPr>
      <w:r>
        <w:rPr>
          <w:sz w:val="24"/>
          <w:szCs w:val="24"/>
        </w:rPr>
        <w:t>Coyne et al. (2018, Developmental Psychology, metaanálisis de 72 estudios, 243 tamaños de efecto): la exposición a contenido prosocial en medios (no el tiempo de pantalla en general) se asoció con mayor conducta prosocial, mayor preocupación empática y menor agresión. Es el hallazgo que más matiza el mensaje: importa qué se mira, no solo cuánto.</w:t>
      </w:r>
    </w:p>
    <w:p w14:paraId="6204F514" w14:textId="77777777" w:rsidR="003F353B" w:rsidRDefault="00000000">
      <w:pPr>
        <w:pStyle w:val="Prrafodelista"/>
        <w:numPr>
          <w:ilvl w:val="0"/>
          <w:numId w:val="2"/>
        </w:numPr>
        <w:spacing w:after="100"/>
      </w:pPr>
      <w:r>
        <w:rPr>
          <w:sz w:val="24"/>
          <w:szCs w:val="24"/>
        </w:rPr>
        <w:t>Huang et al. (2024, Psychological Medicine, cohorte GUSTO — ver también Sección B.1): identificó la integración entre la red de procesamiento emocional y la red de control cognitivo como una posible vía biológica que conecta el tiempo de pantalla en la infancia temprana con la competencia socioemocional posterior, moderada por la lectura compartida con los padres.</w:t>
      </w:r>
    </w:p>
    <w:p w14:paraId="733AE843" w14:textId="77777777" w:rsidR="006D7591" w:rsidRDefault="006D7591" w:rsidP="006D7591">
      <w:pPr>
        <w:spacing w:after="100"/>
      </w:pPr>
    </w:p>
    <w:p w14:paraId="35ED570A" w14:textId="77777777" w:rsidR="006D7591" w:rsidRDefault="006D7591" w:rsidP="006D7591">
      <w:pPr>
        <w:spacing w:after="100"/>
      </w:pPr>
    </w:p>
    <w:p w14:paraId="6D30E87B" w14:textId="77777777" w:rsidR="006D7591" w:rsidRDefault="006D7591" w:rsidP="006D7591">
      <w:pPr>
        <w:spacing w:after="100"/>
      </w:pPr>
    </w:p>
    <w:p w14:paraId="0853AC53" w14:textId="77777777" w:rsidR="006D7591" w:rsidRDefault="006D7591" w:rsidP="006D7591">
      <w:pPr>
        <w:spacing w:after="100"/>
      </w:pPr>
    </w:p>
    <w:p w14:paraId="0D06A686" w14:textId="77777777" w:rsidR="006D7591" w:rsidRDefault="006D7591" w:rsidP="006D7591">
      <w:pPr>
        <w:spacing w:after="100"/>
      </w:pPr>
    </w:p>
    <w:p w14:paraId="532F2943" w14:textId="77777777" w:rsidR="006D7591" w:rsidRDefault="006D7591" w:rsidP="006D7591">
      <w:pPr>
        <w:spacing w:after="100"/>
      </w:pPr>
    </w:p>
    <w:p w14:paraId="534ECD39" w14:textId="77777777" w:rsidR="003F353B" w:rsidRDefault="00000000">
      <w:pPr>
        <w:pStyle w:val="Ttulo3"/>
        <w:spacing w:before="200" w:after="100"/>
      </w:pPr>
      <w:r>
        <w:rPr>
          <w:b/>
          <w:bCs/>
          <w:sz w:val="26"/>
          <w:szCs w:val="26"/>
        </w:rPr>
        <w:lastRenderedPageBreak/>
        <w:t>5.1 Teoría de la mente: el rol específico del formato narrativo</w:t>
      </w:r>
    </w:p>
    <w:p w14:paraId="1123F467" w14:textId="77777777" w:rsidR="003F353B" w:rsidRDefault="00000000">
      <w:pPr>
        <w:spacing w:after="160"/>
      </w:pPr>
      <w:r>
        <w:rPr>
          <w:sz w:val="24"/>
          <w:szCs w:val="24"/>
        </w:rPr>
        <w:t>Esta es la línea de evidencia más nueva y más específica sobre teoría de la mente:</w:t>
      </w:r>
    </w:p>
    <w:p w14:paraId="2B63CE17" w14:textId="77777777" w:rsidR="003F353B" w:rsidRDefault="00000000">
      <w:pPr>
        <w:pStyle w:val="Prrafodelista"/>
        <w:numPr>
          <w:ilvl w:val="0"/>
          <w:numId w:val="2"/>
        </w:numPr>
        <w:spacing w:after="100"/>
      </w:pPr>
      <w:r>
        <w:rPr>
          <w:sz w:val="24"/>
          <w:szCs w:val="24"/>
        </w:rPr>
        <w:t>Mar, Tackett y Moore (2010, Cognitive Development): en niños de 4-6 años, la exposición inferida a cuentos ilustrados predijo mejor desempeño en tareas de teoría de la mente; la exposición a películas infantiles también la predijo; la exposición a televisión infantil no la predijo.</w:t>
      </w:r>
    </w:p>
    <w:p w14:paraId="2EE60473" w14:textId="77777777" w:rsidR="003F353B" w:rsidRDefault="00000000">
      <w:pPr>
        <w:pStyle w:val="Prrafodelista"/>
        <w:numPr>
          <w:ilvl w:val="0"/>
          <w:numId w:val="2"/>
        </w:numPr>
        <w:spacing w:after="100"/>
      </w:pPr>
      <w:r>
        <w:rPr>
          <w:sz w:val="24"/>
          <w:szCs w:val="24"/>
        </w:rPr>
        <w:t>Nathanson et al. (2013): la correlación negativa entre duración de TV y puntajes de teoría de la mente se neutralizaba cuando había conversación entre padres e hijos sobre el contenido visto.</w:t>
      </w:r>
    </w:p>
    <w:p w14:paraId="49457D2E" w14:textId="77777777" w:rsidR="003F353B" w:rsidRDefault="00000000">
      <w:pPr>
        <w:pStyle w:val="Prrafodelista"/>
        <w:numPr>
          <w:ilvl w:val="0"/>
          <w:numId w:val="2"/>
        </w:numPr>
        <w:spacing w:after="100"/>
      </w:pPr>
      <w:r>
        <w:rPr>
          <w:sz w:val="24"/>
          <w:szCs w:val="24"/>
        </w:rPr>
        <w:t>Lenhart et al. (2024, British Journal of Developmental Psychology, 114 niños de 3-6 años, controlando género, edad, lenguaje y educación parental): de todas las variables de exposición a medios, solo las relacionadas con libros y audio (cantidad de libros en casa, lectura compartida, audiolibros) predijeron significativamente el puntaje de teoría de la mente. Ni la TV/películas ni las conversaciones sobre esos contenidos tuvieron efecto incremental significativo.</w:t>
      </w:r>
    </w:p>
    <w:p w14:paraId="09E0198B"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El formato narrativo parece sostener el desarrollo de la teoría de la mente, y el libro lo hace de forma más consistente que la pantalla. El mecanismo plausible: la televisión de fondo reduce, de forma bien documentada (Kirkorian et al., 2009, y estudios posteriores), la cantidad y calidad del habla dirigida al niño — y es justamente el diálogo sobre estados mentales el que la literatura de desarrollo típico señala como motor de la teoría de la mente.</w:t>
      </w:r>
    </w:p>
    <w:p w14:paraId="75409613" w14:textId="77777777" w:rsidR="006D7591" w:rsidRDefault="006D7591" w:rsidP="006D7591">
      <w:pPr>
        <w:pStyle w:val="Fuerte1"/>
      </w:pPr>
    </w:p>
    <w:p w14:paraId="49CA5A07" w14:textId="77777777" w:rsidR="006D7591" w:rsidRDefault="006D7591" w:rsidP="006D7591">
      <w:pPr>
        <w:pStyle w:val="Fuerte1"/>
      </w:pPr>
    </w:p>
    <w:p w14:paraId="72EC9395" w14:textId="77777777" w:rsidR="006D7591" w:rsidRDefault="006D7591" w:rsidP="006D7591">
      <w:pPr>
        <w:pStyle w:val="Fuerte1"/>
      </w:pPr>
    </w:p>
    <w:p w14:paraId="78E6C18C" w14:textId="77777777" w:rsidR="006D7591" w:rsidRDefault="006D7591" w:rsidP="006D7591">
      <w:pPr>
        <w:pStyle w:val="Fuerte1"/>
      </w:pPr>
    </w:p>
    <w:p w14:paraId="479C12F7" w14:textId="77777777" w:rsidR="006D7591" w:rsidRDefault="006D7591" w:rsidP="006D7591">
      <w:pPr>
        <w:pStyle w:val="Fuerte1"/>
      </w:pPr>
    </w:p>
    <w:p w14:paraId="4990785A" w14:textId="77777777" w:rsidR="003F353B" w:rsidRDefault="00000000">
      <w:pPr>
        <w:pStyle w:val="Ttulo3"/>
        <w:spacing w:before="200" w:after="100"/>
      </w:pPr>
      <w:r>
        <w:rPr>
          <w:b/>
          <w:bCs/>
          <w:sz w:val="26"/>
          <w:szCs w:val="26"/>
        </w:rPr>
        <w:t>6. Coordinación motora / psicomotricidad y dispraxia</w:t>
      </w:r>
    </w:p>
    <w:p w14:paraId="466600BE" w14:textId="77777777" w:rsidR="003F353B" w:rsidRDefault="00000000">
      <w:pPr>
        <w:spacing w:after="160"/>
      </w:pPr>
      <w:r>
        <w:rPr>
          <w:sz w:val="24"/>
          <w:szCs w:val="24"/>
        </w:rPr>
        <w:t>Es uno de los dominios donde apareció, en esta ronda, evidencia nueva de buena calidad y a gran escala.</w:t>
      </w:r>
    </w:p>
    <w:p w14:paraId="52375004" w14:textId="77777777" w:rsidR="003F353B" w:rsidRDefault="00000000">
      <w:pPr>
        <w:pStyle w:val="Prrafodelista"/>
        <w:numPr>
          <w:ilvl w:val="0"/>
          <w:numId w:val="2"/>
        </w:numPr>
        <w:spacing w:after="100"/>
      </w:pPr>
      <w:r>
        <w:rPr>
          <w:sz w:val="24"/>
          <w:szCs w:val="24"/>
        </w:rPr>
        <w:t>Bakht et al. (2025, Pediatric Discovery, revisión sistemática 0-7 años): la mayoría de los estudios encuentran asociación entre exposición excesiva a pantallas y menor desarrollo motor, sobre todo en motricidad fina; algunos estudios no hallan asociación significativa.</w:t>
      </w:r>
    </w:p>
    <w:p w14:paraId="2F057EDF" w14:textId="77777777" w:rsidR="003F353B" w:rsidRDefault="00000000">
      <w:pPr>
        <w:pStyle w:val="Prrafodelista"/>
        <w:numPr>
          <w:ilvl w:val="0"/>
          <w:numId w:val="2"/>
        </w:numPr>
        <w:spacing w:after="100"/>
      </w:pPr>
      <w:r>
        <w:rPr>
          <w:sz w:val="24"/>
          <w:szCs w:val="24"/>
        </w:rPr>
        <w:t>Geng et al. (2023, Frontiers in Public Health, 126.433 preescolares chinos): usando el Little Developmental Coordination Disorder Questionnaire (LDCDQ) — que incluye ítems como andar en bicicleta —, cada hora adicional de pantalla entre semana se asoció con menor puntaje total y con más riesgo de sospecha de trastorno del desarrollo de la coordinación; superar 1 hora diaria aumentó el riesgo un 44%, y el uso de pantalla antes de dormir tuvo el efecto más marcado (+46,8% de riesgo por hora adicional).</w:t>
      </w:r>
    </w:p>
    <w:p w14:paraId="00E10D8D" w14:textId="77777777" w:rsidR="003F353B" w:rsidRDefault="00000000">
      <w:pPr>
        <w:pStyle w:val="Prrafodelista"/>
        <w:numPr>
          <w:ilvl w:val="0"/>
          <w:numId w:val="2"/>
        </w:numPr>
        <w:spacing w:after="100"/>
      </w:pPr>
      <w:r>
        <w:rPr>
          <w:sz w:val="24"/>
          <w:szCs w:val="24"/>
        </w:rPr>
        <w:t>Sugiyama, Tsuchiya et al. (2023, JAMA Pediatrics, Universidad de Osaka, cohorte de 885 niños de 18 meses a 4 años): más de 1 hora de pantalla/día a los 2 años se asoció con peores habilidades de comunicación y de vida diaria a los 4 años; la frecuencia de juego al aire libre a los 2 años y 8 meses mitigó el 18% de esa asociación específicamente para habilidades de la vida diaria (no tuvo el mismo efecto sobre la comunicación).</w:t>
      </w:r>
    </w:p>
    <w:p w14:paraId="54D19A36" w14:textId="77777777" w:rsidR="003F353B" w:rsidRDefault="00000000">
      <w:pPr>
        <w:pStyle w:val="Prrafodelista"/>
        <w:numPr>
          <w:ilvl w:val="0"/>
          <w:numId w:val="2"/>
        </w:numPr>
        <w:spacing w:after="100"/>
      </w:pPr>
      <w:r>
        <w:rPr>
          <w:sz w:val="24"/>
          <w:szCs w:val="24"/>
        </w:rPr>
        <w:lastRenderedPageBreak/>
        <w:t>Estudio en niños “left-behind” de 3-6 años en China (2024): el tiempo de pantalla fue predictor significativo del desarrollo motor grueso, independiente de la edad.</w:t>
      </w:r>
    </w:p>
    <w:p w14:paraId="0815E81B"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El juego al aire libre aparece de forma consistente como factor protector parcial, no como neutralizador completo del efecto de la pantalla — conviene comunicarlo así, sin prometer que alcanza por sí solo.</w:t>
      </w:r>
    </w:p>
    <w:p w14:paraId="4B76149F" w14:textId="77777777" w:rsidR="006D7591" w:rsidRDefault="006D7591" w:rsidP="006D7591">
      <w:pPr>
        <w:pStyle w:val="Fuerte1"/>
      </w:pPr>
    </w:p>
    <w:p w14:paraId="0C01F62D" w14:textId="77777777" w:rsidR="006D7591" w:rsidRDefault="006D7591" w:rsidP="006D7591">
      <w:pPr>
        <w:pStyle w:val="Fuerte1"/>
      </w:pPr>
    </w:p>
    <w:p w14:paraId="424DCABA" w14:textId="77777777" w:rsidR="006D7591" w:rsidRPr="006D7591" w:rsidRDefault="006D7591" w:rsidP="006D7591">
      <w:pPr>
        <w:pStyle w:val="Fuerte1"/>
      </w:pPr>
    </w:p>
    <w:p w14:paraId="3D672C1E" w14:textId="77777777" w:rsidR="003F353B" w:rsidRDefault="00000000">
      <w:pPr>
        <w:pStyle w:val="Ttulo3"/>
        <w:spacing w:before="200" w:after="100"/>
      </w:pPr>
      <w:r>
        <w:rPr>
          <w:b/>
          <w:bCs/>
          <w:sz w:val="26"/>
          <w:szCs w:val="26"/>
        </w:rPr>
        <w:t>7. Violencia y conductas agresivas</w:t>
      </w:r>
    </w:p>
    <w:p w14:paraId="3A145FFA" w14:textId="77777777" w:rsidR="003F353B" w:rsidRDefault="00000000">
      <w:pPr>
        <w:spacing w:after="160"/>
      </w:pPr>
      <w:r>
        <w:rPr>
          <w:sz w:val="24"/>
          <w:szCs w:val="24"/>
        </w:rPr>
        <w:t>Este es un dominio con evidencia genuinamente en disputa científica, y así corresponde presentarlo.</w:t>
      </w:r>
    </w:p>
    <w:p w14:paraId="3AB2D4EF" w14:textId="77777777" w:rsidR="003F353B" w:rsidRDefault="00000000">
      <w:pPr>
        <w:pStyle w:val="Prrafodelista"/>
        <w:numPr>
          <w:ilvl w:val="0"/>
          <w:numId w:val="2"/>
        </w:numPr>
        <w:spacing w:after="100"/>
      </w:pPr>
      <w:r>
        <w:rPr>
          <w:sz w:val="24"/>
          <w:szCs w:val="24"/>
        </w:rPr>
        <w:t>Prescott, Sargent y Hull (2018, PNAS, metaanálisis de 24 estudios, más de 17.000 participantes): la exposición a videojuegos violentos se asoció con un aumento posterior de la agresión física.</w:t>
      </w:r>
    </w:p>
    <w:p w14:paraId="799FA9DD" w14:textId="77777777" w:rsidR="003F353B" w:rsidRDefault="00000000">
      <w:pPr>
        <w:pStyle w:val="Prrafodelista"/>
        <w:numPr>
          <w:ilvl w:val="0"/>
          <w:numId w:val="2"/>
        </w:numPr>
        <w:spacing w:after="100"/>
      </w:pPr>
      <w:r>
        <w:rPr>
          <w:sz w:val="24"/>
          <w:szCs w:val="24"/>
        </w:rPr>
        <w:t>Ferguson y colaboradores (2020, Perspectives on Psychological Science): al reanalizar los mismos datos con criterios más estrictos, no encontraron evidencia suficiente para sostener esa conclusión.</w:t>
      </w:r>
    </w:p>
    <w:p w14:paraId="7D4489B4" w14:textId="77777777" w:rsidR="003F353B" w:rsidRDefault="00000000">
      <w:pPr>
        <w:pStyle w:val="Prrafodelista"/>
        <w:numPr>
          <w:ilvl w:val="0"/>
          <w:numId w:val="2"/>
        </w:numPr>
        <w:spacing w:after="100"/>
      </w:pPr>
      <w:r>
        <w:rPr>
          <w:sz w:val="24"/>
          <w:szCs w:val="24"/>
        </w:rPr>
        <w:t>Estudio de registro (“registered report”) en adolescentes británicos (2019, Royal Society Open Science): no encontró asociación significativa entre videojuegos violentos y conducta agresiva.</w:t>
      </w:r>
    </w:p>
    <w:p w14:paraId="4963B97F" w14:textId="77777777" w:rsidR="003F353B" w:rsidRDefault="00000000">
      <w:pPr>
        <w:pStyle w:val="Prrafodelista"/>
        <w:numPr>
          <w:ilvl w:val="0"/>
          <w:numId w:val="2"/>
        </w:numPr>
        <w:spacing w:after="100"/>
      </w:pPr>
      <w:r>
        <w:rPr>
          <w:sz w:val="24"/>
          <w:szCs w:val="24"/>
        </w:rPr>
        <w:t>Revisión más amplia (2023, PMC/Lancet Regional Health): sí sostiene asociación entre violencia en pantallas y mayor agresividad, menor empatía y más bullying.</w:t>
      </w:r>
    </w:p>
    <w:p w14:paraId="11D027C3"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Es un área de genuina controversia científica entre grupos de investigadores serios. Conviene presentarlo así, en lugar de afirmar una relación causal establecida.</w:t>
      </w:r>
    </w:p>
    <w:p w14:paraId="79922985" w14:textId="77777777" w:rsidR="006D7591" w:rsidRDefault="006D7591" w:rsidP="006D7591">
      <w:pPr>
        <w:pStyle w:val="Fuerte1"/>
      </w:pPr>
    </w:p>
    <w:p w14:paraId="774FD0AB" w14:textId="77777777" w:rsidR="006D7591" w:rsidRDefault="006D7591" w:rsidP="006D7591">
      <w:pPr>
        <w:pStyle w:val="Fuerte1"/>
      </w:pPr>
    </w:p>
    <w:p w14:paraId="4C052BFA" w14:textId="77777777" w:rsidR="006D7591" w:rsidRDefault="006D7591" w:rsidP="006D7591">
      <w:pPr>
        <w:pStyle w:val="Fuerte1"/>
      </w:pPr>
    </w:p>
    <w:p w14:paraId="7D74F966" w14:textId="77777777" w:rsidR="003F353B" w:rsidRDefault="00000000">
      <w:pPr>
        <w:pStyle w:val="Ttulo3"/>
        <w:spacing w:before="200" w:after="100"/>
      </w:pPr>
      <w:r>
        <w:rPr>
          <w:b/>
          <w:bCs/>
          <w:sz w:val="26"/>
          <w:szCs w:val="26"/>
        </w:rPr>
        <w:t>8. Obesidad</w:t>
      </w:r>
    </w:p>
    <w:p w14:paraId="0B90A742" w14:textId="77777777" w:rsidR="003F353B" w:rsidRDefault="00000000">
      <w:pPr>
        <w:pStyle w:val="Prrafodelista"/>
        <w:numPr>
          <w:ilvl w:val="0"/>
          <w:numId w:val="2"/>
        </w:numPr>
        <w:spacing w:after="100"/>
      </w:pPr>
      <w:r>
        <w:rPr>
          <w:sz w:val="24"/>
          <w:szCs w:val="24"/>
        </w:rPr>
        <w:t>Haghjoo et al. (2022, BMC Primary Care, metaanálisis de 44 estudios en adolescentes): la categoría más alta de tiempo de pantalla tuvo 1,27 veces más riesgo de sobrepeso/obesidad.</w:t>
      </w:r>
    </w:p>
    <w:p w14:paraId="45BDAC43" w14:textId="77777777" w:rsidR="003F353B" w:rsidRDefault="00000000">
      <w:pPr>
        <w:pStyle w:val="Prrafodelista"/>
        <w:numPr>
          <w:ilvl w:val="0"/>
          <w:numId w:val="2"/>
        </w:numPr>
        <w:spacing w:after="100"/>
      </w:pPr>
      <w:r>
        <w:rPr>
          <w:sz w:val="24"/>
          <w:szCs w:val="24"/>
        </w:rPr>
        <w:t>Revisión Cochrane/ScienceDirect: las intervenciones para reducir el tiempo de pantalla logran reducir la exposición, pero no está probado que por sí solas reviertan la obesidad sin otras intervenciones asociadas.</w:t>
      </w:r>
    </w:p>
    <w:p w14:paraId="188654A5"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Es de las asociaciones más consistentemente replicadas en la literatura.</w:t>
      </w:r>
    </w:p>
    <w:p w14:paraId="7469EA4C" w14:textId="77777777" w:rsidR="006D7591" w:rsidRDefault="006D7591" w:rsidP="006D7591">
      <w:pPr>
        <w:pStyle w:val="Fuerte1"/>
      </w:pPr>
    </w:p>
    <w:p w14:paraId="1E4E53D5" w14:textId="77777777" w:rsidR="006D7591" w:rsidRDefault="006D7591" w:rsidP="006D7591">
      <w:pPr>
        <w:pStyle w:val="Fuerte1"/>
      </w:pPr>
    </w:p>
    <w:p w14:paraId="3DF2CD59" w14:textId="77777777" w:rsidR="006D7591" w:rsidRDefault="006D7591" w:rsidP="006D7591">
      <w:pPr>
        <w:pStyle w:val="Fuerte1"/>
      </w:pPr>
    </w:p>
    <w:p w14:paraId="26BCA74D" w14:textId="77777777" w:rsidR="003F353B" w:rsidRDefault="00000000">
      <w:pPr>
        <w:pStyle w:val="Ttulo3"/>
        <w:spacing w:before="200" w:after="100"/>
      </w:pPr>
      <w:r>
        <w:rPr>
          <w:b/>
          <w:bCs/>
          <w:sz w:val="26"/>
          <w:szCs w:val="26"/>
        </w:rPr>
        <w:t>9. Riesgo de autolesión y suicidio</w:t>
      </w:r>
    </w:p>
    <w:p w14:paraId="2E6AF1E4" w14:textId="77777777" w:rsidR="003F353B" w:rsidRDefault="00000000">
      <w:pPr>
        <w:pStyle w:val="Prrafodelista"/>
        <w:numPr>
          <w:ilvl w:val="0"/>
          <w:numId w:val="2"/>
        </w:numPr>
        <w:spacing w:after="100"/>
      </w:pPr>
      <w:r>
        <w:rPr>
          <w:sz w:val="24"/>
          <w:szCs w:val="24"/>
        </w:rPr>
        <w:lastRenderedPageBreak/>
        <w:t>Chen, Liao, Yang et al. (2024, Psychiatry Research, metaanálisis de estudios longitudinales, 13 estudios, 43.489 jóvenes): el uso total de pantallas se asoció con riesgo de autolesión y conducta suicida; la victimización por ciberacoso también se relacionó con estos desenlaces.</w:t>
      </w:r>
    </w:p>
    <w:p w14:paraId="57CE8527" w14:textId="77777777" w:rsidR="003F353B" w:rsidRDefault="00000000">
      <w:pPr>
        <w:pStyle w:val="Prrafodelista"/>
        <w:numPr>
          <w:ilvl w:val="0"/>
          <w:numId w:val="2"/>
        </w:numPr>
        <w:spacing w:after="100"/>
      </w:pPr>
      <w:r>
        <w:rPr>
          <w:sz w:val="24"/>
          <w:szCs w:val="24"/>
        </w:rPr>
        <w:t>Revisión 2025 (Research Square): los hallazgos son heterogéneos; algunos estudios encuentran que la TV se asocia con tasas menores de depresión y ansiedad.</w:t>
      </w:r>
    </w:p>
    <w:p w14:paraId="28D71464" w14:textId="77777777" w:rsidR="003F353B" w:rsidRDefault="00000000">
      <w:pPr>
        <w:pStyle w:val="Prrafodelista"/>
        <w:numPr>
          <w:ilvl w:val="0"/>
          <w:numId w:val="2"/>
        </w:numPr>
        <w:spacing w:after="100"/>
      </w:pPr>
      <w:r>
        <w:rPr>
          <w:sz w:val="24"/>
          <w:szCs w:val="24"/>
        </w:rPr>
        <w:t>Estudio específico sobre contenido (2025, ScienceDirect): no fue el tiempo de pantalla en sí lo que se relacionó con pensamientos suicidas, sino la exposición a contenido específico de autolesión en redes sociales.</w:t>
      </w:r>
    </w:p>
    <w:p w14:paraId="5E361765"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La evidencia más sólida apunta al tipo de contenido y a la victimización por ciberacoso como factores de riesgo más específicos que el tiempo de pantalla genérico.</w:t>
      </w:r>
    </w:p>
    <w:p w14:paraId="5C2C5A14" w14:textId="77777777" w:rsidR="006D7591" w:rsidRDefault="006D7591" w:rsidP="006D7591">
      <w:pPr>
        <w:pStyle w:val="Fuerte1"/>
      </w:pPr>
    </w:p>
    <w:p w14:paraId="2C8889AF" w14:textId="77777777" w:rsidR="006D7591" w:rsidRDefault="006D7591" w:rsidP="006D7591">
      <w:pPr>
        <w:pStyle w:val="Fuerte1"/>
      </w:pPr>
    </w:p>
    <w:p w14:paraId="0D16BEF1" w14:textId="77777777" w:rsidR="003F353B" w:rsidRDefault="00000000">
      <w:pPr>
        <w:pStyle w:val="Ttulo3"/>
        <w:spacing w:before="200" w:after="100"/>
      </w:pPr>
      <w:r>
        <w:rPr>
          <w:b/>
          <w:bCs/>
          <w:sz w:val="26"/>
          <w:szCs w:val="26"/>
        </w:rPr>
        <w:t>10. Bullying y ciberacoso</w:t>
      </w:r>
    </w:p>
    <w:p w14:paraId="3CA7D827" w14:textId="77777777" w:rsidR="003F353B" w:rsidRDefault="00000000">
      <w:pPr>
        <w:pStyle w:val="Prrafodelista"/>
        <w:numPr>
          <w:ilvl w:val="0"/>
          <w:numId w:val="2"/>
        </w:numPr>
        <w:spacing w:after="100"/>
      </w:pPr>
      <w:r>
        <w:rPr>
          <w:sz w:val="24"/>
          <w:szCs w:val="24"/>
        </w:rPr>
        <w:t>Estudio internacional en 6 países (2024, PLOS ONE, N=12.031): cada hora adicional de uso de redes sociales se asoció con un 13% más de probabilidad de sufrir bullying relacionado con el peso corporal.</w:t>
      </w:r>
    </w:p>
    <w:p w14:paraId="0E1C1747" w14:textId="77777777" w:rsidR="003F353B" w:rsidRPr="006D7591" w:rsidRDefault="00000000">
      <w:pPr>
        <w:pStyle w:val="Prrafodelista"/>
        <w:numPr>
          <w:ilvl w:val="0"/>
          <w:numId w:val="2"/>
        </w:numPr>
        <w:spacing w:after="100"/>
      </w:pPr>
      <w:r>
        <w:rPr>
          <w:sz w:val="24"/>
          <w:szCs w:val="24"/>
        </w:rPr>
        <w:t>Moral-García et al. (2025, European Journal of Investigation in Health, Psychology and Education, 677 estudiantes españoles de 10 a 16 años): tanto víctimas como agresores de bullying presentan un uso significativamente más elevado de internet, celular y videojuegos.</w:t>
      </w:r>
    </w:p>
    <w:p w14:paraId="66B5C0BA" w14:textId="77777777" w:rsidR="006D7591" w:rsidRDefault="006D7591" w:rsidP="006D7591">
      <w:pPr>
        <w:spacing w:after="100"/>
      </w:pPr>
    </w:p>
    <w:p w14:paraId="65AF99C7" w14:textId="77777777" w:rsidR="003F353B" w:rsidRDefault="00000000">
      <w:pPr>
        <w:pStyle w:val="Ttulo3"/>
        <w:spacing w:before="200" w:after="100"/>
      </w:pPr>
      <w:r>
        <w:rPr>
          <w:b/>
          <w:bCs/>
          <w:sz w:val="26"/>
          <w:szCs w:val="26"/>
        </w:rPr>
        <w:t>11. Pantallas y el debate del “autismo virtual”</w:t>
      </w:r>
    </w:p>
    <w:p w14:paraId="1CAB4AF3" w14:textId="77777777" w:rsidR="003F353B" w:rsidRDefault="00000000">
      <w:pPr>
        <w:spacing w:after="160"/>
      </w:pPr>
      <w:r>
        <w:rPr>
          <w:sz w:val="24"/>
          <w:szCs w:val="24"/>
        </w:rPr>
        <w:t>Se incorpora este apartado por su relevancia clínica directa, con el cuidado que el tema exige.</w:t>
      </w:r>
    </w:p>
    <w:p w14:paraId="72671614" w14:textId="77777777" w:rsidR="003F353B" w:rsidRDefault="00000000">
      <w:pPr>
        <w:pStyle w:val="Prrafodelista"/>
        <w:numPr>
          <w:ilvl w:val="0"/>
          <w:numId w:val="2"/>
        </w:numPr>
        <w:spacing w:after="100"/>
      </w:pPr>
      <w:r>
        <w:rPr>
          <w:sz w:val="24"/>
          <w:szCs w:val="24"/>
        </w:rPr>
        <w:t>El término “autismo virtual” (Marius Zamfir) no es un diagnóstico médico reconocido — no figura en el DSM-5 ni en la CIE-11. Describe un cuadro símil-autista atribuido a exposición muy intensiva a pantallas (más de 4 horas diarias) en menores de 3 años.</w:t>
      </w:r>
    </w:p>
    <w:p w14:paraId="77C6FA3E" w14:textId="77777777" w:rsidR="003F353B" w:rsidRDefault="00000000">
      <w:pPr>
        <w:pStyle w:val="Prrafodelista"/>
        <w:numPr>
          <w:ilvl w:val="0"/>
          <w:numId w:val="2"/>
        </w:numPr>
        <w:spacing w:after="100"/>
      </w:pPr>
      <w:r>
        <w:rPr>
          <w:sz w:val="24"/>
          <w:szCs w:val="24"/>
        </w:rPr>
        <w:t>Ophir et al. (2023, JAMA Network Open, metaanálisis de 46 estudios, 562.131 participantes): asociación positiva pequeña entre pantallas y TEA (log OR = 0,54), más marcada en niños, pero no significativa al corregir por sesgo de publicación. La conclusión de los propios autores: la asociación “no está suficientemente respaldada por la literatura existente”.</w:t>
      </w:r>
    </w:p>
    <w:p w14:paraId="277B1BD4" w14:textId="77777777" w:rsidR="003F353B" w:rsidRDefault="00000000">
      <w:pPr>
        <w:pStyle w:val="Prrafodelista"/>
        <w:numPr>
          <w:ilvl w:val="0"/>
          <w:numId w:val="2"/>
        </w:numPr>
        <w:spacing w:after="100"/>
      </w:pPr>
      <w:r>
        <w:rPr>
          <w:sz w:val="24"/>
          <w:szCs w:val="24"/>
        </w:rPr>
        <w:t>Liu et al. (2025): los niños con TEA muestran mayor exposición a pantallas que sus pares con desarrollo típico — compatible con una relación bidireccional (buscan o reciben más pantalla) más que con causalidad directa.</w:t>
      </w:r>
    </w:p>
    <w:p w14:paraId="38E75EDF" w14:textId="77777777" w:rsidR="003F353B" w:rsidRDefault="00000000">
      <w:pPr>
        <w:pStyle w:val="Prrafodelista"/>
        <w:numPr>
          <w:ilvl w:val="0"/>
          <w:numId w:val="2"/>
        </w:numPr>
        <w:spacing w:after="100"/>
      </w:pPr>
      <w:r>
        <w:rPr>
          <w:sz w:val="24"/>
          <w:szCs w:val="24"/>
        </w:rPr>
        <w:t>Heffler et al. (2022, Pediatrics International, piloto n=9, y Psychiatry Research Case Reports, 2 niños con diseño de reversión): la reducción de pantalla y su reemplazo por tiempo social se asoció con mejoría de síntomas (23% de reducción en síntomas nucleares en el piloto), pero sin normalización completa ni grupo control.</w:t>
      </w:r>
    </w:p>
    <w:p w14:paraId="1F2F5619" w14:textId="77777777" w:rsidR="003F353B" w:rsidRDefault="00000000">
      <w:pPr>
        <w:pStyle w:val="Prrafodelista"/>
        <w:numPr>
          <w:ilvl w:val="0"/>
          <w:numId w:val="2"/>
        </w:numPr>
        <w:spacing w:after="100"/>
      </w:pPr>
      <w:r>
        <w:rPr>
          <w:sz w:val="24"/>
          <w:szCs w:val="24"/>
        </w:rPr>
        <w:lastRenderedPageBreak/>
        <w:t>Dieu-Osika, Bossière y Osika (2020, Global Pediatric Health) proponen la denominación “síndrome de sobreexposición temprana a medios” — una propuesta de nomenclatura, no una entidad clínica validada.</w:t>
      </w:r>
    </w:p>
    <w:p w14:paraId="7606C2B0" w14:textId="77777777" w:rsidR="003F353B" w:rsidRDefault="00000000">
      <w:pPr>
        <w:pStyle w:val="Prrafodelista"/>
        <w:numPr>
          <w:ilvl w:val="0"/>
          <w:numId w:val="2"/>
        </w:numPr>
        <w:spacing w:after="100"/>
      </w:pPr>
      <w:r>
        <w:rPr>
          <w:sz w:val="24"/>
          <w:szCs w:val="24"/>
        </w:rPr>
        <w:t>Colvert et al. (2008, Journal of Child Psychology and Psychiatry): en 165 adoptados rumanos (144 institucionalizados antes de los 43 meses) y 52 adoptados del Reino Unido (antes de los 6 meses), evaluados a los 6 y 11 años con las tareas Strange Stories (teoría de la mente) y Stroop (función ejecutiva), los adoptados rumanos mostraron déficits en ambos dominios, mayores cuanto más prolongada la privación. Teoría de la mente y función ejecutiva mediaron estadísticamente el cuasi-autismo específicamente, no el apego desinhibido. En seguimiento longitudinal del mismo grupo, el patrón de dificultades persistió en el 66% de los casos hasta los 15 años, frente a una proporción mucho menor en la muestra sin privación prolongada.</w:t>
      </w:r>
    </w:p>
    <w:p w14:paraId="7C67D052"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t>Un paradigma distinto pero metodológicamente más sólido, útil como marco teórico: el “cuasi-autismo” descrito por Rutter en el estudio English and Romanian Adoptees (ERA). Niños con privación institucional severa mostraron, en la primera infancia, cuadros que cumplían criterios completos de autismo; tras la adopción, esos síntomas disminuyeron progresivamente y dejaron de considerarse autismo verdadero. Pero el seguimiento hasta la adultez (Rodríguez-Pérez et al., 2023, Journal of Child Psychology and Psychiatry) mostró que este grupo mantuvo trayectorias elevadas y persistentes de dificultades autistas de base amplia, TDAH, apego desinhibido y CI bajo, con las dificultades de comunicación como el predictor más fuerte de mal resultado adulto. Es decir: mejoría sustancial, pero no necesariamente normalización completa — y el dominio de comunicación parece ser el más vulnerable a dejar secuela. La privación institucional severa no es equivalente a la exposición a pantallas en un hogar con cuidadores presentes; lo que se traslada es el patrón general, no la magnitud del estímulo. Para el caso específico de pantallas, no existe todavía un estudio de seguimiento a largo plazo que documente sistemáticamente qué le queda al chico una vez que deja de cumplir criterios de TEA.</w:t>
      </w:r>
    </w:p>
    <w:p w14:paraId="35AFD9B1" w14:textId="77777777" w:rsidR="006D7591" w:rsidRDefault="006D7591" w:rsidP="006D7591">
      <w:pPr>
        <w:pStyle w:val="Fuerte1"/>
      </w:pPr>
    </w:p>
    <w:p w14:paraId="21EC5FF4" w14:textId="77777777" w:rsidR="003F353B" w:rsidRDefault="00000000">
      <w:pPr>
        <w:pStyle w:val="Ttulo3"/>
        <w:spacing w:before="200" w:after="100"/>
      </w:pPr>
      <w:r>
        <w:rPr>
          <w:b/>
          <w:bCs/>
          <w:sz w:val="26"/>
          <w:szCs w:val="26"/>
        </w:rPr>
        <w:t>12. Sueño</w:t>
      </w:r>
    </w:p>
    <w:p w14:paraId="35EF4ECD" w14:textId="77777777" w:rsidR="003F353B" w:rsidRDefault="00000000">
      <w:pPr>
        <w:spacing w:after="160"/>
      </w:pPr>
      <w:r>
        <w:rPr>
          <w:sz w:val="24"/>
          <w:szCs w:val="24"/>
        </w:rPr>
        <w:t>Se incorpora este dominio porque, junto con lenguaje, contenido y conversación desplazada, es uno de los mecanismos por los que el tiempo de pantalla puede afectar el desarrollo — aunque, como se detalla más abajo, con menor solidez metodológica que la mayoría de los bloques anteriores.</w:t>
      </w:r>
    </w:p>
    <w:p w14:paraId="22DE9B13" w14:textId="77777777" w:rsidR="003F353B" w:rsidRDefault="00000000">
      <w:pPr>
        <w:pStyle w:val="Prrafodelista"/>
        <w:numPr>
          <w:ilvl w:val="0"/>
          <w:numId w:val="2"/>
        </w:numPr>
        <w:spacing w:after="100"/>
      </w:pPr>
      <w:r>
        <w:rPr>
          <w:sz w:val="24"/>
          <w:szCs w:val="24"/>
        </w:rPr>
        <w:t>Janssen, Martin, Hughes, Hill, Kotronoulas y Hesketh (2020, Sleep Medicine Reviews 49:101226, revisión sistemática y metaanálisis, 31 estudios en menores de 5 años): el tiempo de pantalla se asoció con peores resultados de sueño en lactantes, caminadores y preescolares; el metaanálisis confirmó la asociación desfavorable en lactantes y caminadores, pero no la confirmó específicamente en preescolares. La actividad física y el juego al aire libre se asociaron favorablemente con la mayoría de los resultados de sueño en caminadores y preescolares.</w:t>
      </w:r>
    </w:p>
    <w:p w14:paraId="3781127E" w14:textId="77777777" w:rsidR="003F353B" w:rsidRDefault="00000000">
      <w:pPr>
        <w:pStyle w:val="Prrafodelista"/>
        <w:numPr>
          <w:ilvl w:val="0"/>
          <w:numId w:val="2"/>
        </w:numPr>
        <w:spacing w:after="100"/>
      </w:pPr>
      <w:r>
        <w:rPr>
          <w:sz w:val="24"/>
          <w:szCs w:val="24"/>
        </w:rPr>
        <w:t>Chonchaiya, Wilaisakditipakorn, Vijakkhana y Pruksananonda (2017, Pediatric Research 81(2):322-328): la exposición a medios de fondo (pantalla encendida sin que el chico la mire directamente) se asoció con mayor latencia de sueño nocturno en lactantes tailandeses.</w:t>
      </w:r>
    </w:p>
    <w:p w14:paraId="5A7DB8A5" w14:textId="77777777" w:rsidR="003F353B" w:rsidRDefault="00000000">
      <w:pPr>
        <w:pBdr>
          <w:left w:val="single" w:sz="12" w:space="8" w:color="888888"/>
        </w:pBdr>
        <w:spacing w:before="120" w:after="200"/>
        <w:ind w:left="240"/>
        <w:rPr>
          <w:i/>
          <w:iCs/>
          <w:color w:val="444444"/>
          <w:sz w:val="24"/>
          <w:szCs w:val="24"/>
        </w:rPr>
      </w:pPr>
      <w:r>
        <w:rPr>
          <w:i/>
          <w:iCs/>
          <w:color w:val="444444"/>
          <w:sz w:val="24"/>
          <w:szCs w:val="24"/>
        </w:rPr>
        <w:lastRenderedPageBreak/>
        <w:t>La calidad de evidencia en este dominio es la más baja de todo el anexo — los propios autores de la revisión la califican como “muy baja” según GRADE — y el hallazgo más consistente es específicamente el del uso vespertino/nocturno, no el tiempo total de pantalla durante el día. Conviene comunicarlo con esa misma cautela: es un dominio real, pero con menor solidez metodológica que el resto de los bloques de este anexo. El efecto protector de la actividad física vuelve a aparecer acá, reforzando su rol transversal en varios dominios (ver también Sección B.6, coordinación motora).</w:t>
      </w:r>
    </w:p>
    <w:p w14:paraId="363F378A" w14:textId="77777777" w:rsidR="001A38AC" w:rsidRDefault="00000000">
      <w:pPr>
        <w:pStyle w:val="Ttulo1"/>
        <w:spacing w:before="360" w:after="160"/>
      </w:pPr>
      <w:r>
        <w:rPr>
          <w:b/>
          <w:bCs/>
        </w:rPr>
        <w:t>Sección C — Salud ocular y exposición a pantallas</w:t>
      </w:r>
    </w:p>
    <w:p w14:paraId="3242739D" w14:textId="77777777" w:rsidR="001A38AC" w:rsidRDefault="00000000">
      <w:pPr>
        <w:spacing w:after="160"/>
      </w:pPr>
      <w:r>
        <w:rPr>
          <w:sz w:val="24"/>
          <w:szCs w:val="24"/>
        </w:rPr>
        <w:t>Se incorpora este bloque como complemento del anexo de neurodesarrollo, con el mismo criterio de jerarquía de evidencia: metaanálisis primero, luego estudios individuales, marcando de forma explícita dónde la evidencia es sólida y dónde es mixta o insuficiente.</w:t>
      </w:r>
    </w:p>
    <w:p w14:paraId="3A5A16A4" w14:textId="77777777" w:rsidR="001A38AC" w:rsidRDefault="00000000">
      <w:pPr>
        <w:pStyle w:val="Ttulo3"/>
        <w:spacing w:before="200" w:after="100"/>
      </w:pPr>
      <w:r>
        <w:rPr>
          <w:b/>
          <w:bCs/>
          <w:sz w:val="26"/>
          <w:szCs w:val="26"/>
        </w:rPr>
        <w:t>1. Miopía</w:t>
      </w:r>
    </w:p>
    <w:p w14:paraId="2D236BCB" w14:textId="77777777" w:rsidR="001A38AC" w:rsidRDefault="00000000">
      <w:pPr>
        <w:pStyle w:val="Prrafodelista"/>
        <w:numPr>
          <w:ilvl w:val="0"/>
          <w:numId w:val="2"/>
        </w:numPr>
        <w:spacing w:after="100"/>
      </w:pPr>
      <w:r>
        <w:rPr>
          <w:sz w:val="24"/>
          <w:szCs w:val="24"/>
        </w:rPr>
        <w:t>Ha et al. (2025, JAMA Network Open, metaanálisis de dosis-respuesta, 45 estudios, 335.524 participantes, edad media 9,3 años): cada hora adicional de pantalla al día se asoció con un odds ratio de 1,21 (IC 95%: 1,13-1,30) para miopía, con una curva sigmoidal — el riesgo aumenta con más fuerza entre 1 y 4 horas diarias y luego de forma más gradual.</w:t>
      </w:r>
    </w:p>
    <w:p w14:paraId="42EB18E5" w14:textId="77777777" w:rsidR="001A38AC" w:rsidRDefault="00000000">
      <w:pPr>
        <w:pStyle w:val="Prrafodelista"/>
        <w:numPr>
          <w:ilvl w:val="0"/>
          <w:numId w:val="2"/>
        </w:numPr>
        <w:spacing w:after="100"/>
      </w:pPr>
      <w:r>
        <w:rPr>
          <w:sz w:val="24"/>
          <w:szCs w:val="24"/>
        </w:rPr>
        <w:t>Metaanálisis previo (11 estudios): el uso de smartphone o tablet solo se asoció con un 26% más de riesgo; combinado con uso de computadora, con un 77% más. Otro metaanálisis, sin embargo, que separó exposición categórica y continua, encontró asociación con computadora y televisión pero no con smartphone — la evidencia por tipo de dispositivo es genuinamente inconsistente entre estudios.</w:t>
      </w:r>
    </w:p>
    <w:p w14:paraId="5026F457" w14:textId="77777777" w:rsidR="001A38AC" w:rsidRDefault="00000000">
      <w:pPr>
        <w:pBdr>
          <w:left w:val="single" w:sz="12" w:space="8" w:color="888888"/>
        </w:pBdr>
        <w:spacing w:before="120" w:after="200"/>
        <w:ind w:left="240"/>
        <w:rPr>
          <w:i/>
          <w:iCs/>
          <w:color w:val="444444"/>
          <w:sz w:val="24"/>
          <w:szCs w:val="24"/>
        </w:rPr>
      </w:pPr>
      <w:r>
        <w:rPr>
          <w:i/>
          <w:iCs/>
          <w:color w:val="444444"/>
          <w:sz w:val="24"/>
          <w:szCs w:val="24"/>
        </w:rPr>
        <w:t>Al igual que en otros dominios de este anexo, conviene no presentar la miopía como una asociación uniforme entre todos los tipos de pantalla: el tamaño y la consistencia del efecto varían según el dispositivo estudiado.</w:t>
      </w:r>
    </w:p>
    <w:p w14:paraId="01787DB5" w14:textId="77777777" w:rsidR="001A38AC" w:rsidRDefault="00000000">
      <w:pPr>
        <w:pStyle w:val="Ttulo3"/>
        <w:spacing w:before="200" w:after="100"/>
      </w:pPr>
      <w:r>
        <w:rPr>
          <w:b/>
          <w:bCs/>
          <w:sz w:val="26"/>
          <w:szCs w:val="26"/>
        </w:rPr>
        <w:t>2. Ventana de sensibilidad temprana (0-3 años)</w:t>
      </w:r>
    </w:p>
    <w:p w14:paraId="067B42E7" w14:textId="77777777" w:rsidR="001A38AC" w:rsidRDefault="00000000">
      <w:pPr>
        <w:pStyle w:val="Prrafodelista"/>
        <w:numPr>
          <w:ilvl w:val="0"/>
          <w:numId w:val="2"/>
        </w:numPr>
        <w:spacing w:after="100"/>
      </w:pPr>
      <w:r>
        <w:rPr>
          <w:sz w:val="24"/>
          <w:szCs w:val="24"/>
        </w:rPr>
        <w:t>Longhua Child Cohort Study, China (26.433 a 29.595 preescolares): la exposición a pantallas durante el primer año de vida — no la exposición posterior — fue la que se asoció con mayor riesgo de miopía preescolar, en un patrón de dosis-respuesta (más duración diaria y más años acumulados de exposición, mayor riesgo). El efecto fue más marcado en niños con antecedentes parentales de miopía.</w:t>
      </w:r>
    </w:p>
    <w:p w14:paraId="41C24999" w14:textId="77777777" w:rsidR="001A38AC" w:rsidRDefault="00000000">
      <w:pPr>
        <w:pStyle w:val="Prrafodelista"/>
        <w:numPr>
          <w:ilvl w:val="0"/>
          <w:numId w:val="2"/>
        </w:numPr>
        <w:spacing w:after="100"/>
      </w:pPr>
      <w:r>
        <w:rPr>
          <w:sz w:val="24"/>
          <w:szCs w:val="24"/>
        </w:rPr>
        <w:t>Estudio en preescolares japoneses: los niños con edad más temprana de primer contacto con pantallas mostraron mayor riesgo de miopía preescolar que quienes tuvieron un primer contacto más tardío, replicando el hallazgo chino en una población distinta.</w:t>
      </w:r>
    </w:p>
    <w:p w14:paraId="558E41F6" w14:textId="77777777" w:rsidR="001A38AC" w:rsidRDefault="00000000">
      <w:pPr>
        <w:pStyle w:val="Prrafodelista"/>
        <w:numPr>
          <w:ilvl w:val="0"/>
          <w:numId w:val="2"/>
        </w:numPr>
        <w:spacing w:after="100"/>
      </w:pPr>
      <w:r>
        <w:rPr>
          <w:sz w:val="24"/>
          <w:szCs w:val="24"/>
        </w:rPr>
        <w:t>Un estudio combinado de la misma cohorte china encontró que la actividad al aire libre entre 1 y 3 años atenuó parcialmente — no anuló — el efecto de la pantalla sobre la miopía preescolar, especialmente en niños con padres miopes.</w:t>
      </w:r>
    </w:p>
    <w:p w14:paraId="4D8570FA" w14:textId="77777777" w:rsidR="001A38AC" w:rsidRDefault="00000000">
      <w:pPr>
        <w:pBdr>
          <w:left w:val="single" w:sz="12" w:space="8" w:color="888888"/>
        </w:pBdr>
        <w:spacing w:before="120" w:after="200"/>
        <w:ind w:left="240"/>
        <w:rPr>
          <w:i/>
          <w:iCs/>
          <w:color w:val="444444"/>
          <w:sz w:val="24"/>
          <w:szCs w:val="24"/>
        </w:rPr>
      </w:pPr>
      <w:r>
        <w:rPr>
          <w:i/>
          <w:iCs/>
          <w:color w:val="444444"/>
          <w:sz w:val="24"/>
          <w:szCs w:val="24"/>
        </w:rPr>
        <w:t xml:space="preserve">Este es el hallazgo más relevante para la franja etaria que prioriza el proyecto: dos cohortes independientes (China y Japón) señalan el primer año de vida como ventana de sensibilidad específica, en paralelo conceptual con el hallazgo de Huang et al. sobre neurodesarrollo </w:t>
      </w:r>
      <w:r>
        <w:rPr>
          <w:i/>
          <w:iCs/>
          <w:color w:val="444444"/>
          <w:sz w:val="24"/>
          <w:szCs w:val="24"/>
        </w:rPr>
        <w:lastRenderedPageBreak/>
        <w:t>(Sección B.1) — aunque se trata de dominios y mecanismos biológicos distintos, y no debe presentarse como el mismo hallazgo.</w:t>
      </w:r>
    </w:p>
    <w:p w14:paraId="134C1545" w14:textId="77777777" w:rsidR="001A38AC" w:rsidRDefault="00000000">
      <w:pPr>
        <w:pStyle w:val="Ttulo3"/>
        <w:spacing w:before="200" w:after="100"/>
      </w:pPr>
      <w:r>
        <w:rPr>
          <w:b/>
          <w:bCs/>
          <w:sz w:val="26"/>
          <w:szCs w:val="26"/>
        </w:rPr>
        <w:t>3. Ojo seco y fatiga visual digital</w:t>
      </w:r>
    </w:p>
    <w:p w14:paraId="68D8A180" w14:textId="77777777" w:rsidR="001A38AC" w:rsidRDefault="00000000">
      <w:pPr>
        <w:pStyle w:val="Prrafodelista"/>
        <w:numPr>
          <w:ilvl w:val="0"/>
          <w:numId w:val="2"/>
        </w:numPr>
        <w:spacing w:after="100"/>
      </w:pPr>
      <w:r>
        <w:rPr>
          <w:sz w:val="24"/>
          <w:szCs w:val="24"/>
        </w:rPr>
        <w:t>Chidi-Egboka, Jalbert y Golebiowski (2022, Eye, estudio de intervención en niños de 6 a 15 años, n=36): una hora de uso de smartphone redujo la tasa de parpadeo de 20,8 a 8,9 parpadeos por minuto (a menos de la mitad del valor basal) y produjo síntomas medibles de ojo seco, aunque sin cambios en la función lagrimal. Es uno de los pocos estudios con diseño de intervención real, no solo cuestionario, lo que lo hace metodológicamente más sólido que buena parte de la literatura del área.</w:t>
      </w:r>
    </w:p>
    <w:p w14:paraId="59B8967F" w14:textId="77777777" w:rsidR="001A38AC" w:rsidRDefault="00000000">
      <w:pPr>
        <w:pStyle w:val="Prrafodelista"/>
        <w:numPr>
          <w:ilvl w:val="0"/>
          <w:numId w:val="2"/>
        </w:numPr>
        <w:spacing w:after="100"/>
      </w:pPr>
      <w:r>
        <w:rPr>
          <w:sz w:val="24"/>
          <w:szCs w:val="24"/>
        </w:rPr>
        <w:t>La tasa de parpadeo cae de un rango habitual de 17-22 parpadeos por minuto a apenas 4-7 durante el uso continuo de pantalla, según revisiones de la literatura oftalmológica.</w:t>
      </w:r>
    </w:p>
    <w:p w14:paraId="19726EAA" w14:textId="77777777" w:rsidR="001A38AC" w:rsidRDefault="00000000">
      <w:pPr>
        <w:pStyle w:val="Prrafodelista"/>
        <w:numPr>
          <w:ilvl w:val="0"/>
          <w:numId w:val="2"/>
        </w:numPr>
        <w:spacing w:after="100"/>
      </w:pPr>
      <w:r>
        <w:rPr>
          <w:sz w:val="24"/>
          <w:szCs w:val="24"/>
        </w:rPr>
        <w:t>Estudios de prevalencia posteriores a la pandemia reportan síntomas de fatiga visual digital en 50% a 67% de escolares evaluados, con mayor riesgo a mayor tiempo de exposición y menor frecuencia de pausas.</w:t>
      </w:r>
    </w:p>
    <w:p w14:paraId="560C3225" w14:textId="77777777" w:rsidR="001A38AC" w:rsidRDefault="00000000">
      <w:pPr>
        <w:pBdr>
          <w:left w:val="single" w:sz="12" w:space="8" w:color="888888"/>
        </w:pBdr>
        <w:spacing w:before="120" w:after="200"/>
        <w:ind w:left="240"/>
        <w:rPr>
          <w:i/>
          <w:iCs/>
          <w:color w:val="444444"/>
          <w:sz w:val="24"/>
          <w:szCs w:val="24"/>
        </w:rPr>
      </w:pPr>
      <w:r>
        <w:rPr>
          <w:i/>
          <w:iCs/>
          <w:color w:val="444444"/>
          <w:sz w:val="24"/>
          <w:szCs w:val="24"/>
        </w:rPr>
        <w:t>Toda esta evidencia proviene de niños en edad escolar o adolescentes. No se encontró evidencia específica de ojo seco o fatiga visual digital en la franja de 0 a 6 años — es un vacío real de la literatura, no un hallazgo que pueda extrapolarse hacia abajo con la misma confianza que el de miopía.</w:t>
      </w:r>
    </w:p>
    <w:p w14:paraId="2CEC8CBC" w14:textId="77777777" w:rsidR="001A38AC" w:rsidRDefault="00000000">
      <w:pPr>
        <w:pStyle w:val="Ttulo3"/>
        <w:spacing w:before="200" w:after="100"/>
      </w:pPr>
      <w:r>
        <w:rPr>
          <w:b/>
          <w:bCs/>
          <w:sz w:val="26"/>
          <w:szCs w:val="26"/>
        </w:rPr>
        <w:t>4. Esotropía aguda adquirida (estrabismo)</w:t>
      </w:r>
    </w:p>
    <w:p w14:paraId="09DFD33B" w14:textId="77777777" w:rsidR="001A38AC" w:rsidRDefault="00000000">
      <w:pPr>
        <w:pStyle w:val="Prrafodelista"/>
        <w:numPr>
          <w:ilvl w:val="0"/>
          <w:numId w:val="2"/>
        </w:numPr>
        <w:spacing w:after="100"/>
      </w:pPr>
      <w:r>
        <w:rPr>
          <w:sz w:val="24"/>
          <w:szCs w:val="24"/>
        </w:rPr>
        <w:t>Series de casos en Corea, Japón y España documentan esotropía aguda concomitante asociada a uso excesivo de smartphone en niños y adolescentes, con un pico de reportes durante la pandemia de COVID-19.</w:t>
      </w:r>
    </w:p>
    <w:p w14:paraId="6AB7241F" w14:textId="77777777" w:rsidR="001A38AC" w:rsidRDefault="00000000">
      <w:pPr>
        <w:pBdr>
          <w:left w:val="single" w:sz="12" w:space="8" w:color="888888"/>
        </w:pBdr>
        <w:spacing w:before="120" w:after="200"/>
        <w:ind w:left="240"/>
        <w:rPr>
          <w:i/>
          <w:iCs/>
          <w:color w:val="444444"/>
          <w:sz w:val="24"/>
          <w:szCs w:val="24"/>
        </w:rPr>
      </w:pPr>
      <w:r>
        <w:rPr>
          <w:i/>
          <w:iCs/>
          <w:color w:val="444444"/>
          <w:sz w:val="24"/>
          <w:szCs w:val="24"/>
        </w:rPr>
        <w:t>Es una asociación clínicamente plausible y repetida entre series independientes, pero de evidencia baja — series de casos, no estudios controlados ni cohortes. Corresponde presentarla como señal de vigilancia clínica, no como hallazgo consolidado, con el mismo criterio de cautela que este anexo aplica al debate sobre “autismo virtual”.</w:t>
      </w:r>
    </w:p>
    <w:p w14:paraId="0EF1A11E" w14:textId="77777777" w:rsidR="003F353B" w:rsidRDefault="00000000">
      <w:pPr>
        <w:pStyle w:val="Ttulo1"/>
        <w:spacing w:before="360" w:after="160"/>
      </w:pPr>
      <w:r>
        <w:rPr>
          <w:b/>
          <w:bCs/>
        </w:rPr>
        <w:t>Consideración final sobre el conjunto de la evidencia</w:t>
      </w:r>
    </w:p>
    <w:p w14:paraId="66BEA5EE" w14:textId="77777777" w:rsidR="003F353B" w:rsidRDefault="00000000">
      <w:pPr>
        <w:spacing w:after="160"/>
      </w:pPr>
      <w:r>
        <w:rPr>
          <w:sz w:val="24"/>
          <w:szCs w:val="24"/>
        </w:rPr>
        <w:t xml:space="preserve">La solidez de la evidencia no es uniforme entre dominios. Es más consistente y con mejor respaldo metodológico en: lenguaje y lectura, obesidad, coordinación motora, y en el efecto del contenido prosocial sobre la empatía. Es más matizada o directamente en discusión en: el efecto global del tiempo de pantalla sobre las funciones ejecutivas en menores de 6 años, el vínculo entre videojuegos violentos y agresión, la relación entre pantallas y síntomas de autismo, y el efecto sobre el sueño, donde la evidencia es de calidad baja y solo se confirma en lactantes y caminadores, no en preescolares. En riesgo de autolesión/suicidio y en bullying, lo mejor sostenido por la evidencia es la asociación con contenido específico y con el vínculo social online, más que con el tiempo de pantalla como variable aislada. Esta distinción es la que sostiene, en definitiva, tanto la Parte 1 de este documento como el rigor con el que se está construyendo el proyecto. En el plano ocular, lo mejor sostenido es la asociación dosis-respuesta con miopía y el rol protector del aire libre, con una ventana de sensibilidad específica en el primer año de vida replicada en dos cohortes independientes; la fatiga visual digital está bien </w:t>
      </w:r>
      <w:r>
        <w:rPr>
          <w:sz w:val="24"/>
          <w:szCs w:val="24"/>
        </w:rPr>
        <w:lastRenderedPageBreak/>
        <w:t>documentada en escolares pero no en menores de 6, y la esotropía aguda adquirida es una señal clínica real sostenida todavía solo por series de casos.</w:t>
      </w:r>
    </w:p>
    <w:sectPr w:rsidR="003F353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5B6D"/>
    <w:multiLevelType w:val="hybridMultilevel"/>
    <w:tmpl w:val="154C87DE"/>
    <w:lvl w:ilvl="0" w:tplc="B7C474A4">
      <w:start w:val="1"/>
      <w:numFmt w:val="bullet"/>
      <w:lvlText w:val="●"/>
      <w:lvlJc w:val="left"/>
      <w:pPr>
        <w:ind w:left="720" w:hanging="360"/>
      </w:pPr>
    </w:lvl>
    <w:lvl w:ilvl="1" w:tplc="3364E670">
      <w:start w:val="1"/>
      <w:numFmt w:val="bullet"/>
      <w:lvlText w:val="○"/>
      <w:lvlJc w:val="left"/>
      <w:pPr>
        <w:ind w:left="1440" w:hanging="360"/>
      </w:pPr>
    </w:lvl>
    <w:lvl w:ilvl="2" w:tplc="0CD6CBFC">
      <w:start w:val="1"/>
      <w:numFmt w:val="bullet"/>
      <w:lvlText w:val="■"/>
      <w:lvlJc w:val="left"/>
      <w:pPr>
        <w:ind w:left="2160" w:hanging="360"/>
      </w:pPr>
    </w:lvl>
    <w:lvl w:ilvl="3" w:tplc="2D60311E">
      <w:start w:val="1"/>
      <w:numFmt w:val="bullet"/>
      <w:lvlText w:val="●"/>
      <w:lvlJc w:val="left"/>
      <w:pPr>
        <w:ind w:left="2880" w:hanging="360"/>
      </w:pPr>
    </w:lvl>
    <w:lvl w:ilvl="4" w:tplc="B956CAEA">
      <w:start w:val="1"/>
      <w:numFmt w:val="bullet"/>
      <w:lvlText w:val="○"/>
      <w:lvlJc w:val="left"/>
      <w:pPr>
        <w:ind w:left="3600" w:hanging="360"/>
      </w:pPr>
    </w:lvl>
    <w:lvl w:ilvl="5" w:tplc="F2CE6EEA">
      <w:start w:val="1"/>
      <w:numFmt w:val="bullet"/>
      <w:lvlText w:val="■"/>
      <w:lvlJc w:val="left"/>
      <w:pPr>
        <w:ind w:left="4320" w:hanging="360"/>
      </w:pPr>
    </w:lvl>
    <w:lvl w:ilvl="6" w:tplc="828A4D10">
      <w:start w:val="1"/>
      <w:numFmt w:val="bullet"/>
      <w:lvlText w:val="●"/>
      <w:lvlJc w:val="left"/>
      <w:pPr>
        <w:ind w:left="5040" w:hanging="360"/>
      </w:pPr>
    </w:lvl>
    <w:lvl w:ilvl="7" w:tplc="B2C22852">
      <w:start w:val="1"/>
      <w:numFmt w:val="bullet"/>
      <w:lvlText w:val="●"/>
      <w:lvlJc w:val="left"/>
      <w:pPr>
        <w:ind w:left="5760" w:hanging="360"/>
      </w:pPr>
    </w:lvl>
    <w:lvl w:ilvl="8" w:tplc="360E197E">
      <w:start w:val="1"/>
      <w:numFmt w:val="bullet"/>
      <w:lvlText w:val="●"/>
      <w:lvlJc w:val="left"/>
      <w:pPr>
        <w:ind w:left="6480" w:hanging="360"/>
      </w:pPr>
    </w:lvl>
  </w:abstractNum>
  <w:abstractNum w:abstractNumId="1" w15:restartNumberingAfterBreak="0">
    <w:nsid w:val="273275A7"/>
    <w:multiLevelType w:val="hybridMultilevel"/>
    <w:tmpl w:val="9E0A58F2"/>
    <w:lvl w:ilvl="0" w:tplc="CFDA7A38">
      <w:start w:val="1"/>
      <w:numFmt w:val="bullet"/>
      <w:lvlText w:val="•"/>
      <w:lvlJc w:val="left"/>
      <w:pPr>
        <w:ind w:left="504" w:hanging="288"/>
      </w:pPr>
    </w:lvl>
    <w:lvl w:ilvl="1" w:tplc="3A564080">
      <w:numFmt w:val="decimal"/>
      <w:lvlText w:val=""/>
      <w:lvlJc w:val="left"/>
    </w:lvl>
    <w:lvl w:ilvl="2" w:tplc="BE9292C4">
      <w:numFmt w:val="decimal"/>
      <w:lvlText w:val=""/>
      <w:lvlJc w:val="left"/>
    </w:lvl>
    <w:lvl w:ilvl="3" w:tplc="E3109966">
      <w:numFmt w:val="decimal"/>
      <w:lvlText w:val=""/>
      <w:lvlJc w:val="left"/>
    </w:lvl>
    <w:lvl w:ilvl="4" w:tplc="59988D36">
      <w:numFmt w:val="decimal"/>
      <w:lvlText w:val=""/>
      <w:lvlJc w:val="left"/>
    </w:lvl>
    <w:lvl w:ilvl="5" w:tplc="DE4C9CEA">
      <w:numFmt w:val="decimal"/>
      <w:lvlText w:val=""/>
      <w:lvlJc w:val="left"/>
    </w:lvl>
    <w:lvl w:ilvl="6" w:tplc="5B567684">
      <w:numFmt w:val="decimal"/>
      <w:lvlText w:val=""/>
      <w:lvlJc w:val="left"/>
    </w:lvl>
    <w:lvl w:ilvl="7" w:tplc="43AECE26">
      <w:numFmt w:val="decimal"/>
      <w:lvlText w:val=""/>
      <w:lvlJc w:val="left"/>
    </w:lvl>
    <w:lvl w:ilvl="8" w:tplc="429CBDE2">
      <w:numFmt w:val="decimal"/>
      <w:lvlText w:val=""/>
      <w:lvlJc w:val="left"/>
    </w:lvl>
  </w:abstractNum>
  <w:num w:numId="1" w16cid:durableId="1590967524">
    <w:abstractNumId w:val="0"/>
    <w:lvlOverride w:ilvl="0">
      <w:startOverride w:val="1"/>
    </w:lvlOverride>
  </w:num>
  <w:num w:numId="2" w16cid:durableId="17563664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53B"/>
    <w:rsid w:val="000A71B9"/>
    <w:rsid w:val="001A38AC"/>
    <w:rsid w:val="002E4BB0"/>
    <w:rsid w:val="00354D35"/>
    <w:rsid w:val="003F353B"/>
    <w:rsid w:val="0065535A"/>
    <w:rsid w:val="006D7591"/>
    <w:rsid w:val="00753F69"/>
    <w:rsid w:val="00B54FF1"/>
    <w:rsid w:val="00B75429"/>
    <w:rsid w:val="00CB777E"/>
    <w:rsid w:val="00D25DE4"/>
    <w:rsid w:val="00DF6D8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1B95"/>
  <w15:docId w15:val="{9946ED4E-B366-4376-817D-B4524268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1075E-817A-4889-9922-5CC0CFD43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5987</Words>
  <Characters>32932</Characters>
  <Application>Microsoft Office Word</Application>
  <DocSecurity>0</DocSecurity>
  <Lines>274</Lines>
  <Paragraphs>77</Paragraphs>
  <ScaleCrop>false</ScaleCrop>
  <Company/>
  <LinksUpToDate>false</LinksUpToDate>
  <CharactersWithSpaces>38842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Javier</cp:lastModifiedBy>
  <cp:revision>2</cp:revision>
  <dcterms:created xsi:type="dcterms:W3CDTF">2026-09-02T01:18:00Z</dcterms:created>
  <dcterms:modified xsi:type="dcterms:W3CDTF">2026-09-02T01:18:00Z</dcterms:modified>
</cp:coreProperties>
</file>